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64229">
      <w:pPr>
        <w:pStyle w:val="a3"/>
        <w:jc w:val="right"/>
        <w:divId w:val="1517305002"/>
      </w:pPr>
    </w:p>
    <w:p w:rsidR="00000000" w:rsidRDefault="00E64229">
      <w:pPr>
        <w:bidi/>
        <w:spacing w:line="360" w:lineRule="auto"/>
        <w:ind w:right="-426"/>
        <w:jc w:val="center"/>
        <w:divId w:val="930164982"/>
        <w:rPr>
          <w:rFonts w:ascii="Garamond" w:hAnsi="Garamond" w:cs="David" w:hint="cs"/>
          <w:b/>
          <w:bCs/>
          <w:u w:val="single"/>
          <w:rtl/>
        </w:rPr>
      </w:pPr>
      <w:r>
        <w:rPr>
          <w:rFonts w:ascii="Garamond" w:hAnsi="Garamond" w:cs="David" w:hint="cs"/>
          <w:b/>
          <w:bCs/>
          <w:u w:val="single"/>
          <w:rtl/>
        </w:rPr>
        <w:t xml:space="preserve">תזכיר חוק ההגבלים העסקיים (תיקון מס' --) (הכרזה בדבר מונופולין על-פי כוח שוק), התשע"ה–2015 </w:t>
      </w:r>
    </w:p>
    <w:p w:rsidR="00000000" w:rsidRDefault="00E64229">
      <w:pPr>
        <w:bidi/>
        <w:spacing w:line="360" w:lineRule="auto"/>
        <w:ind w:right="-426"/>
        <w:divId w:val="930164982"/>
        <w:rPr>
          <w:rFonts w:ascii="Garamond" w:hAnsi="Garamond" w:cs="David" w:hint="cs"/>
          <w:b/>
          <w:bCs/>
          <w:u w:val="single"/>
          <w:rtl/>
        </w:rPr>
      </w:pPr>
    </w:p>
    <w:p w:rsidR="00000000" w:rsidRDefault="00E64229">
      <w:pPr>
        <w:pStyle w:val="a5"/>
        <w:numPr>
          <w:ilvl w:val="0"/>
          <w:numId w:val="2"/>
        </w:numPr>
        <w:bidi/>
        <w:spacing w:line="360" w:lineRule="auto"/>
        <w:ind w:right="-426"/>
        <w:contextualSpacing/>
        <w:jc w:val="both"/>
        <w:divId w:val="930164982"/>
        <w:rPr>
          <w:rFonts w:ascii="Garamond" w:hAnsi="Garamond" w:cs="David" w:hint="cs"/>
          <w:b/>
          <w:bCs/>
          <w:u w:val="single"/>
          <w:rtl/>
        </w:rPr>
      </w:pPr>
      <w:r>
        <w:rPr>
          <w:rFonts w:ascii="Garamond" w:hAnsi="Garamond" w:cs="David" w:hint="cs"/>
          <w:b/>
          <w:bCs/>
          <w:u w:val="single"/>
          <w:rtl/>
        </w:rPr>
        <w:t>שם החוק המוצע:</w:t>
      </w:r>
    </w:p>
    <w:p w:rsidR="00000000" w:rsidRDefault="00E64229">
      <w:pPr>
        <w:bidi/>
        <w:spacing w:line="360" w:lineRule="auto"/>
        <w:ind w:left="360" w:firstLine="360"/>
        <w:divId w:val="930164982"/>
        <w:rPr>
          <w:rFonts w:ascii="Garamond" w:hAnsi="Garamond" w:cs="David" w:hint="cs"/>
          <w:rtl/>
        </w:rPr>
      </w:pPr>
      <w:r>
        <w:rPr>
          <w:rFonts w:ascii="Garamond" w:hAnsi="Garamond" w:cs="David" w:hint="cs"/>
          <w:rtl/>
        </w:rPr>
        <w:t>הצעת חוק ההגבלים העסקיים (תיקון מס' --) (הכרזה בדבר מונופולין על-פי כוח שוק),</w:t>
      </w:r>
      <w:r>
        <w:rPr>
          <w:rFonts w:ascii="Garamond" w:hAnsi="Garamond" w:cs="David" w:hint="cs"/>
          <w:rtl/>
        </w:rPr>
        <w:t xml:space="preserve"> </w:t>
      </w:r>
      <w:r>
        <w:rPr>
          <w:rFonts w:ascii="Garamond" w:hAnsi="Garamond" w:cs="David" w:hint="cs"/>
          <w:rtl/>
        </w:rPr>
        <w:tab/>
        <w:t>התשע"ה–2015</w:t>
      </w:r>
    </w:p>
    <w:p w:rsidR="00000000" w:rsidRDefault="00E64229">
      <w:pPr>
        <w:bidi/>
        <w:spacing w:line="360" w:lineRule="auto"/>
        <w:ind w:left="360" w:right="-426" w:firstLine="360"/>
        <w:divId w:val="930164982"/>
        <w:rPr>
          <w:rFonts w:ascii="Garamond" w:hAnsi="Garamond" w:cs="David" w:hint="cs"/>
          <w:rtl/>
        </w:rPr>
      </w:pPr>
    </w:p>
    <w:p w:rsidR="00000000" w:rsidRDefault="00E64229">
      <w:pPr>
        <w:pStyle w:val="a5"/>
        <w:numPr>
          <w:ilvl w:val="0"/>
          <w:numId w:val="2"/>
        </w:numPr>
        <w:bidi/>
        <w:spacing w:line="360" w:lineRule="auto"/>
        <w:ind w:right="-426"/>
        <w:contextualSpacing/>
        <w:jc w:val="both"/>
        <w:divId w:val="930164982"/>
        <w:rPr>
          <w:rFonts w:ascii="Garamond" w:hAnsi="Garamond" w:hint="cs"/>
          <w:rtl/>
        </w:rPr>
      </w:pPr>
      <w:r>
        <w:rPr>
          <w:rFonts w:ascii="Garamond" w:hAnsi="Garamond" w:cs="David" w:hint="cs"/>
          <w:b/>
          <w:bCs/>
          <w:u w:val="single"/>
          <w:rtl/>
        </w:rPr>
        <w:t>עיקר החוק המוצע והצורך בו:</w:t>
      </w:r>
    </w:p>
    <w:p w:rsidR="00000000" w:rsidRDefault="00E64229">
      <w:pPr>
        <w:pStyle w:val="a5"/>
        <w:bidi/>
        <w:spacing w:line="360" w:lineRule="auto"/>
        <w:jc w:val="both"/>
        <w:divId w:val="930164982"/>
        <w:rPr>
          <w:rFonts w:ascii="Garamond" w:hAnsi="Garamond" w:cs="David"/>
        </w:rPr>
      </w:pPr>
      <w:r>
        <w:rPr>
          <w:rFonts w:ascii="Garamond" w:hAnsi="Garamond" w:cs="David" w:hint="cs"/>
          <w:rtl/>
        </w:rPr>
        <w:t>מוצע לתקן את חוק ההגבלים העסקיים, התשמ"ח–1988 (להלן – "החוק", או "חוק ההגבלים העסקיים") באופן המרחיב את תחולת דיני המונופולין בחוק כך שיחולו גם על אדם שיש לו כוח שוק, ושהממונה על הגבלים עסקיים קבע כי הוא בעל מונופו</w:t>
      </w:r>
      <w:r>
        <w:rPr>
          <w:rFonts w:ascii="Garamond" w:hAnsi="Garamond" w:cs="David" w:hint="cs"/>
          <w:rtl/>
        </w:rPr>
        <w:t xml:space="preserve">לין, אף אם אותו אדם אינו מחזיק בריכוז של למעלה ממחצית מכלל אספקת נכסים או שירותים או מרכישתם. </w:t>
      </w:r>
    </w:p>
    <w:p w:rsidR="00000000" w:rsidRDefault="00E64229">
      <w:pPr>
        <w:pStyle w:val="a5"/>
        <w:bidi/>
        <w:spacing w:line="360" w:lineRule="auto"/>
        <w:jc w:val="both"/>
        <w:divId w:val="930164982"/>
        <w:rPr>
          <w:rFonts w:ascii="Garamond" w:hAnsi="Garamond" w:cs="David" w:hint="cs"/>
          <w:rtl/>
        </w:rPr>
      </w:pPr>
    </w:p>
    <w:p w:rsidR="00000000" w:rsidRDefault="00E64229">
      <w:pPr>
        <w:pStyle w:val="a5"/>
        <w:bidi/>
        <w:spacing w:line="360" w:lineRule="auto"/>
        <w:jc w:val="both"/>
        <w:divId w:val="930164982"/>
        <w:rPr>
          <w:rFonts w:ascii="Garamond" w:hAnsi="Garamond" w:cs="David" w:hint="cs"/>
          <w:rtl/>
        </w:rPr>
      </w:pPr>
      <w:r>
        <w:rPr>
          <w:rFonts w:ascii="Garamond" w:hAnsi="Garamond" w:cs="David" w:hint="cs"/>
          <w:rtl/>
        </w:rPr>
        <w:t xml:space="preserve">בהתאם, מוצע לתקן את הגדרת המונופולין ובעל המונופולין בסעיף 26 לחוק ההגבלים העסקיים. </w:t>
      </w:r>
    </w:p>
    <w:p w:rsidR="00000000" w:rsidRDefault="00E64229">
      <w:pPr>
        <w:pStyle w:val="a5"/>
        <w:bidi/>
        <w:spacing w:line="360" w:lineRule="auto"/>
        <w:jc w:val="both"/>
        <w:divId w:val="930164982"/>
        <w:rPr>
          <w:rFonts w:ascii="Garamond" w:hAnsi="Garamond" w:cs="David" w:hint="cs"/>
          <w:rtl/>
        </w:rPr>
      </w:pPr>
    </w:p>
    <w:p w:rsidR="00000000" w:rsidRDefault="00E64229">
      <w:pPr>
        <w:pStyle w:val="a5"/>
        <w:bidi/>
        <w:spacing w:line="360" w:lineRule="auto"/>
        <w:jc w:val="both"/>
        <w:divId w:val="930164982"/>
        <w:rPr>
          <w:rFonts w:ascii="Garamond" w:hAnsi="Garamond" w:cs="David" w:hint="cs"/>
          <w:rtl/>
        </w:rPr>
      </w:pPr>
      <w:r>
        <w:rPr>
          <w:rFonts w:ascii="Garamond" w:hAnsi="Garamond" w:cs="David" w:hint="cs"/>
          <w:rtl/>
        </w:rPr>
        <w:t xml:space="preserve">להלן עיקרי התיקון המוצע וטעמיו. </w:t>
      </w:r>
    </w:p>
    <w:p w:rsidR="00000000" w:rsidRDefault="00E64229">
      <w:pPr>
        <w:pStyle w:val="a5"/>
        <w:bidi/>
        <w:spacing w:line="360" w:lineRule="auto"/>
        <w:jc w:val="both"/>
        <w:divId w:val="930164982"/>
        <w:rPr>
          <w:rFonts w:ascii="Garamond" w:hAnsi="Garamond" w:cs="David" w:hint="cs"/>
          <w:rtl/>
        </w:rPr>
      </w:pPr>
    </w:p>
    <w:p w:rsidR="00000000" w:rsidRDefault="00E64229">
      <w:pPr>
        <w:pStyle w:val="a5"/>
        <w:numPr>
          <w:ilvl w:val="0"/>
          <w:numId w:val="4"/>
        </w:numPr>
        <w:bidi/>
        <w:spacing w:line="360" w:lineRule="auto"/>
        <w:ind w:left="1080" w:right="720"/>
        <w:contextualSpacing/>
        <w:jc w:val="both"/>
        <w:divId w:val="930164982"/>
        <w:rPr>
          <w:rFonts w:ascii="Garamond" w:hAnsi="Garamond" w:hint="cs"/>
          <w:b/>
          <w:bCs/>
          <w:rtl/>
        </w:rPr>
      </w:pPr>
      <w:r>
        <w:rPr>
          <w:rFonts w:ascii="Garamond" w:hAnsi="Garamond" w:cs="David" w:hint="cs"/>
          <w:b/>
          <w:bCs/>
          <w:rtl/>
        </w:rPr>
        <w:t xml:space="preserve">חלופת מונופולין המבוססת על כוח שוק, להבדיל מנתח שוק </w:t>
      </w:r>
    </w:p>
    <w:p w:rsidR="00000000" w:rsidRDefault="00E64229">
      <w:pPr>
        <w:pStyle w:val="a5"/>
        <w:bidi/>
        <w:spacing w:line="360" w:lineRule="auto"/>
        <w:ind w:left="1080"/>
        <w:contextualSpacing/>
        <w:jc w:val="both"/>
        <w:divId w:val="930164982"/>
        <w:rPr>
          <w:rFonts w:ascii="Garamond" w:hAnsi="Garamond" w:cs="David"/>
        </w:rPr>
      </w:pPr>
      <w:r>
        <w:rPr>
          <w:rFonts w:ascii="Garamond" w:hAnsi="Garamond" w:cs="David" w:hint="cs"/>
          <w:rtl/>
        </w:rPr>
        <w:t xml:space="preserve">על פי סעיף 26(א) לחוק ההגבלים העסקיים, "יראו כמונופולין ריכוז של </w:t>
      </w:r>
      <w:r>
        <w:rPr>
          <w:rFonts w:ascii="Garamond" w:hAnsi="Garamond" w:cs="David" w:hint="cs"/>
          <w:u w:val="single"/>
          <w:rtl/>
        </w:rPr>
        <w:t>יותר ממחצית</w:t>
      </w:r>
      <w:r>
        <w:rPr>
          <w:rFonts w:ascii="Garamond" w:hAnsi="Garamond" w:cs="David" w:hint="cs"/>
          <w:rtl/>
        </w:rPr>
        <w:t xml:space="preserve"> מכלל אספקת נכסים או מכלל רכישתם, או של </w:t>
      </w:r>
      <w:r>
        <w:rPr>
          <w:rFonts w:ascii="Garamond" w:hAnsi="Garamond" w:cs="David" w:hint="cs"/>
          <w:u w:val="single"/>
          <w:rtl/>
        </w:rPr>
        <w:t>יותר ממחצית</w:t>
      </w:r>
      <w:r>
        <w:rPr>
          <w:rFonts w:ascii="Garamond" w:hAnsi="Garamond" w:cs="David" w:hint="cs"/>
          <w:rtl/>
        </w:rPr>
        <w:t xml:space="preserve"> מכלל מתן שירותים, או מכלל רכישתם, בידיו של אדם אחד". דהיינו, בבסיס תחולתו ש</w:t>
      </w:r>
      <w:r>
        <w:rPr>
          <w:rFonts w:ascii="Garamond" w:hAnsi="Garamond" w:cs="David" w:hint="cs"/>
          <w:rtl/>
        </w:rPr>
        <w:t xml:space="preserve">ל פרק המונופולין על אדם עומדת דרישה בדבר נתח שוק של מעל 50% שאותו אדם מרכז בידיו. </w:t>
      </w:r>
    </w:p>
    <w:p w:rsidR="00000000" w:rsidRDefault="00E64229">
      <w:pPr>
        <w:pStyle w:val="a5"/>
        <w:bidi/>
        <w:spacing w:line="360" w:lineRule="auto"/>
        <w:ind w:left="1080"/>
        <w:contextualSpacing/>
        <w:jc w:val="both"/>
        <w:divId w:val="930164982"/>
        <w:rPr>
          <w:rFonts w:ascii="Garamond" w:hAnsi="Garamond" w:cs="David" w:hint="cs"/>
          <w:rtl/>
        </w:rPr>
      </w:pPr>
      <w:r>
        <w:rPr>
          <w:rFonts w:ascii="Garamond" w:hAnsi="Garamond" w:cs="David" w:hint="cs"/>
          <w:rtl/>
        </w:rPr>
        <w:t xml:space="preserve">אלא שבעוד שהדין הקיים מתמקד בנתח השוק, התופעה הכלכלית המרכזית שאותה מבקשים דיני המונופולין לרסן היא שימוש לרעה בכוח שוק. כדברי בית הדין להגבלים עסקיים בה"ע 2/96 </w:t>
      </w:r>
      <w:r>
        <w:rPr>
          <w:rFonts w:ascii="Garamond" w:hAnsi="Garamond" w:cs="David" w:hint="cs"/>
          <w:u w:val="single"/>
          <w:rtl/>
        </w:rPr>
        <w:t>הממונה על הג</w:t>
      </w:r>
      <w:r>
        <w:rPr>
          <w:rFonts w:ascii="Garamond" w:hAnsi="Garamond" w:cs="David" w:hint="cs"/>
          <w:u w:val="single"/>
          <w:rtl/>
        </w:rPr>
        <w:t>בלים עסקיים נ' ידיעות אחרונות</w:t>
      </w:r>
      <w:r>
        <w:rPr>
          <w:rFonts w:ascii="Garamond" w:hAnsi="Garamond" w:cs="David" w:hint="cs"/>
          <w:rtl/>
        </w:rPr>
        <w:t>:</w:t>
      </w:r>
    </w:p>
    <w:p w:rsidR="00000000" w:rsidRDefault="00E64229">
      <w:pPr>
        <w:pStyle w:val="a5"/>
        <w:bidi/>
        <w:spacing w:before="0" w:beforeAutospacing="0" w:after="0" w:afterAutospacing="0" w:line="360" w:lineRule="auto"/>
        <w:ind w:left="1785" w:right="567"/>
        <w:contextualSpacing/>
        <w:jc w:val="both"/>
        <w:divId w:val="930164982"/>
        <w:rPr>
          <w:rFonts w:ascii="Garamond" w:hAnsi="Garamond" w:cs="David" w:hint="cs"/>
          <w:rtl/>
        </w:rPr>
      </w:pPr>
      <w:r>
        <w:rPr>
          <w:rFonts w:ascii="Garamond" w:hAnsi="Garamond" w:cs="David" w:hint="cs"/>
          <w:rtl/>
        </w:rPr>
        <w:t xml:space="preserve">"מבחינה כלכלית, החשש לפגיעה בתחרות נובע מקיומו של כוח שוק, המאפשר למי שמחזיק בכוח זה להשפיע על מחיר השוק ועל נתונים אחרים הנקבעים בשוק תחרותי על ידי כוחות השוק. החשש מפני </w:t>
      </w:r>
      <w:r>
        <w:rPr>
          <w:rFonts w:ascii="Garamond" w:hAnsi="Garamond" w:cs="David" w:hint="cs"/>
          <w:rtl/>
        </w:rPr>
        <w:lastRenderedPageBreak/>
        <w:t>מונופולין נובע מהחשש מפני הפעלת כוח השוק הנתון בידי בע</w:t>
      </w:r>
      <w:r>
        <w:rPr>
          <w:rFonts w:ascii="Garamond" w:hAnsi="Garamond" w:cs="David" w:hint="cs"/>
          <w:rtl/>
        </w:rPr>
        <w:t>ל המונופולין.</w:t>
      </w:r>
      <w:r>
        <w:rPr>
          <w:rFonts w:cs="David" w:hint="cs"/>
          <w:b/>
          <w:szCs w:val="26"/>
          <w:rtl/>
        </w:rPr>
        <w:t>"</w:t>
      </w:r>
    </w:p>
    <w:p w:rsidR="00000000" w:rsidRDefault="00E64229">
      <w:pPr>
        <w:bidi/>
        <w:spacing w:before="100" w:beforeAutospacing="1" w:after="100" w:afterAutospacing="1" w:line="360" w:lineRule="auto"/>
        <w:ind w:left="1076"/>
        <w:divId w:val="930164982"/>
        <w:rPr>
          <w:rFonts w:ascii="Garamond" w:eastAsia="Times New Roman" w:hAnsi="Garamond" w:cs="David" w:hint="cs"/>
          <w:rtl/>
        </w:rPr>
      </w:pPr>
      <w:r>
        <w:rPr>
          <w:rFonts w:ascii="Garamond" w:eastAsia="Times New Roman" w:hAnsi="Garamond" w:cs="David" w:hint="cs"/>
          <w:rtl/>
        </w:rPr>
        <w:t xml:space="preserve">נתח שוק גבוה, של מעל 50%, אכן מהווה אינדיקציה חזקה לקיומו של כוח שוק המצדיק הטלת חובות ואיסורים מיוחדים למניעת פגיעה בתחרות ובציבור. אלא שבהחלט ייתכן מצב שבו אדם נהנה מכוח שוק, ובהתאם, עלול לפגוע בתחרות ובציבור, גם בנתחי שוק קטנים יותר. בין </w:t>
      </w:r>
      <w:r>
        <w:rPr>
          <w:rFonts w:ascii="Garamond" w:eastAsia="Times New Roman" w:hAnsi="Garamond" w:cs="David" w:hint="cs"/>
          <w:rtl/>
        </w:rPr>
        <w:t>היתר, ניתן להסיק על קיומו של כוח שוק מקום בו קיימים חסמי כניסה או התרחבות משמעותיים של מתחרים, מאלמנטים מבניים אחרים ומהתנהגות האדם הנבדק, שעשויה להעיד על כוחו (למשל, הצלחתן של פרקטיקות דוחקות תחרות בצמצום התחרות בשוק או תמחור גבוה ממחיר תחרותי). קביעת תנא</w:t>
      </w:r>
      <w:r>
        <w:rPr>
          <w:rFonts w:ascii="Garamond" w:eastAsia="Times New Roman" w:hAnsi="Garamond" w:cs="David" w:hint="cs"/>
          <w:rtl/>
        </w:rPr>
        <w:t xml:space="preserve">י-בלעדיו-אין שעניינו נתח שוק גבוה לתחולת דיני המונופולין יוצרת פיקציה לפיה גופים בעלי נתח השוק בשיעור הנמוך מ-50% בהכרח אינם מחזיקים בכוח שוק, בעוד שלעתים הם מחזיקים בכוח שוק משמעותי שיש לרסנו. </w:t>
      </w:r>
    </w:p>
    <w:p w:rsidR="00000000" w:rsidRDefault="00E64229">
      <w:pPr>
        <w:bidi/>
        <w:spacing w:before="100" w:beforeAutospacing="1" w:after="100" w:afterAutospacing="1" w:line="360" w:lineRule="auto"/>
        <w:ind w:left="1076"/>
        <w:divId w:val="930164982"/>
        <w:rPr>
          <w:rFonts w:ascii="Garamond" w:eastAsia="Times New Roman" w:hAnsi="Garamond" w:cs="David" w:hint="cs"/>
          <w:rtl/>
        </w:rPr>
      </w:pPr>
      <w:r>
        <w:rPr>
          <w:rFonts w:ascii="Garamond" w:eastAsia="Times New Roman" w:hAnsi="Garamond" w:cs="David" w:hint="cs"/>
          <w:rtl/>
        </w:rPr>
        <w:t>יש לציין כי באירופה, ממנה שאב החוק הישראלי את האיסורים הסטטוט</w:t>
      </w:r>
      <w:r>
        <w:rPr>
          <w:rFonts w:ascii="Garamond" w:eastAsia="Times New Roman" w:hAnsi="Garamond" w:cs="David" w:hint="cs"/>
          <w:rtl/>
        </w:rPr>
        <w:t>וריים על ניצול מעמד מונופוליסטי לרעה, הבסיס לתחולת האיסורים הוא קיומה של עמדה דומיננטית בשוק (</w:t>
      </w:r>
      <w:r>
        <w:rPr>
          <w:rFonts w:ascii="Garamond" w:eastAsia="Times New Roman" w:hAnsi="Garamond" w:cs="David"/>
        </w:rPr>
        <w:t>"dominant position"</w:t>
      </w:r>
      <w:r>
        <w:rPr>
          <w:rFonts w:ascii="Garamond" w:eastAsia="Times New Roman" w:hAnsi="Garamond" w:cs="David" w:hint="cs"/>
          <w:rtl/>
        </w:rPr>
        <w:t>),</w:t>
      </w:r>
      <w:r>
        <w:rPr>
          <w:rStyle w:val="a6"/>
          <w:rFonts w:ascii="Garamond" w:eastAsia="Times New Roman" w:hAnsi="Garamond"/>
          <w:rtl/>
        </w:rPr>
        <w:footnoteReference w:id="1"/>
      </w:r>
      <w:r>
        <w:rPr>
          <w:rFonts w:ascii="Garamond" w:eastAsia="Times New Roman" w:hAnsi="Garamond" w:cs="David" w:hint="cs"/>
          <w:rtl/>
        </w:rPr>
        <w:t xml:space="preserve"> ולא נתח שוק קבוע כזה או אחר.  </w:t>
      </w:r>
    </w:p>
    <w:p w:rsidR="00000000" w:rsidRDefault="00E64229">
      <w:pPr>
        <w:bidi/>
        <w:spacing w:before="100" w:beforeAutospacing="1" w:after="100" w:afterAutospacing="1" w:line="360" w:lineRule="auto"/>
        <w:ind w:left="1076"/>
        <w:divId w:val="930164982"/>
        <w:rPr>
          <w:rFonts w:ascii="Garamond" w:eastAsia="Times New Roman" w:hAnsi="Garamond" w:cs="David" w:hint="cs"/>
          <w:rtl/>
        </w:rPr>
      </w:pPr>
      <w:r>
        <w:rPr>
          <w:rFonts w:ascii="Garamond" w:eastAsia="Times New Roman" w:hAnsi="Garamond" w:cs="David" w:hint="cs"/>
          <w:rtl/>
        </w:rPr>
        <w:t>תיאורטית, סעיף 26(ג) לחוק מאפשר את החלת דיני המונופולין גם בנתחי שוק בשיעורים נמוכים מ-50%, לפי קביעה של השר</w:t>
      </w:r>
      <w:r>
        <w:rPr>
          <w:rFonts w:ascii="Garamond" w:eastAsia="Times New Roman" w:hAnsi="Garamond" w:cs="David" w:hint="cs"/>
          <w:rtl/>
        </w:rPr>
        <w:t xml:space="preserve"> ובהמלצת הממונה, מקום בו לאדם יש "השפעה מכרעת" בשוק. בפועל מעולם לא נעשה שימוש בסעיף זה. מכיוון שמדובר בקביעה שהיא במהותה כלכלית-משפטית, בדומה לקביעות אחרות לפי חוק ההגבלים העסקיים, מן הראוי להעניק שיקול דעת וסמכות בנושא גם לממונה על הגבלים עסקיים, וזאת במ</w:t>
      </w:r>
      <w:r>
        <w:rPr>
          <w:rFonts w:ascii="Garamond" w:eastAsia="Times New Roman" w:hAnsi="Garamond" w:cs="David" w:hint="cs"/>
          <w:rtl/>
        </w:rPr>
        <w:t xml:space="preserve">קביל לסמכות המוקנית לשר בעניין זה. על הפעלת שיקול דעתו של הממונה יחולו הכללים המנהליים והביקורת השיפוטית החלה על כל סמכויות הקביעה האחרות של הממונה לפי החוק. </w:t>
      </w:r>
    </w:p>
    <w:p w:rsidR="00000000" w:rsidRDefault="00E64229">
      <w:pPr>
        <w:pStyle w:val="a5"/>
        <w:bidi/>
        <w:spacing w:line="360" w:lineRule="auto"/>
        <w:ind w:left="1080"/>
        <w:contextualSpacing/>
        <w:jc w:val="both"/>
        <w:divId w:val="930164982"/>
        <w:rPr>
          <w:rFonts w:ascii="Garamond" w:hAnsi="Garamond" w:hint="cs"/>
          <w:rtl/>
        </w:rPr>
      </w:pPr>
    </w:p>
    <w:p w:rsidR="00000000" w:rsidRDefault="00E64229">
      <w:pPr>
        <w:pStyle w:val="a5"/>
        <w:numPr>
          <w:ilvl w:val="0"/>
          <w:numId w:val="4"/>
        </w:numPr>
        <w:bidi/>
        <w:spacing w:line="360" w:lineRule="auto"/>
        <w:ind w:left="1080" w:right="720"/>
        <w:contextualSpacing/>
        <w:jc w:val="both"/>
        <w:divId w:val="930164982"/>
        <w:rPr>
          <w:rFonts w:ascii="Garamond" w:hAnsi="Garamond"/>
        </w:rPr>
      </w:pPr>
      <w:r>
        <w:rPr>
          <w:rFonts w:ascii="Garamond" w:hAnsi="Garamond" w:cs="David" w:hint="cs"/>
          <w:b/>
          <w:bCs/>
          <w:rtl/>
        </w:rPr>
        <w:t>נפקות קונסטיטוטיבית להכרזת הממונה בדבר כוח שוק</w:t>
      </w:r>
    </w:p>
    <w:p w:rsidR="00000000" w:rsidRDefault="00E64229">
      <w:pPr>
        <w:pStyle w:val="a5"/>
        <w:bidi/>
        <w:spacing w:line="360" w:lineRule="auto"/>
        <w:ind w:left="1080"/>
        <w:contextualSpacing/>
        <w:jc w:val="both"/>
        <w:divId w:val="930164982"/>
        <w:rPr>
          <w:rFonts w:ascii="Garamond" w:hAnsi="Garamond" w:cs="David"/>
        </w:rPr>
      </w:pPr>
      <w:r>
        <w:rPr>
          <w:rFonts w:ascii="Garamond" w:hAnsi="Garamond" w:cs="David" w:hint="cs"/>
          <w:rtl/>
        </w:rPr>
        <w:t>בעוד שהכרזת מונופולין מכוח סעיף 26(א) לחוק היא דק</w:t>
      </w:r>
      <w:r>
        <w:rPr>
          <w:rFonts w:ascii="Garamond" w:hAnsi="Garamond" w:cs="David" w:hint="cs"/>
          <w:rtl/>
        </w:rPr>
        <w:t>לרטיבית בלבד, כך שהחובות וההגבלות החלות על בעל המונופולין מתקיימות ללא תלות בהכרזה או היעדרה, מוצע כי ככל שמדובר במונופולין מכוח סעיף 26(א1) כמפורט בתזכיר, להכרזת הממונה יהיה תוקף קונסטיטוטיבי. ככזו, תוקפה יהיה מכאן ולהבא. הנפקות הקונסטיטוטיבית של הכרזת המ</w:t>
      </w:r>
      <w:r>
        <w:rPr>
          <w:rFonts w:ascii="Garamond" w:hAnsi="Garamond" w:cs="David" w:hint="cs"/>
          <w:rtl/>
        </w:rPr>
        <w:t xml:space="preserve">מונה בעניין זה נועדה לאפשר וודאות משפטית נוכח המורכבות הכלכלית בקביעת קיומו של "כוח שוק". </w:t>
      </w:r>
    </w:p>
    <w:p w:rsidR="00000000" w:rsidRDefault="00E64229">
      <w:pPr>
        <w:pStyle w:val="a5"/>
        <w:bidi/>
        <w:spacing w:line="360" w:lineRule="auto"/>
        <w:ind w:left="1080"/>
        <w:contextualSpacing/>
        <w:jc w:val="both"/>
        <w:divId w:val="930164982"/>
        <w:rPr>
          <w:rFonts w:ascii="Garamond" w:hAnsi="Garamond" w:cs="David" w:hint="cs"/>
          <w:rtl/>
        </w:rPr>
      </w:pPr>
    </w:p>
    <w:p w:rsidR="00000000" w:rsidRDefault="00E64229">
      <w:pPr>
        <w:pStyle w:val="a5"/>
        <w:bidi/>
        <w:spacing w:line="360" w:lineRule="auto"/>
        <w:ind w:left="719"/>
        <w:contextualSpacing/>
        <w:jc w:val="both"/>
        <w:divId w:val="930164982"/>
        <w:rPr>
          <w:rFonts w:ascii="Garamond" w:hAnsi="Garamond" w:cs="David" w:hint="cs"/>
          <w:rtl/>
        </w:rPr>
      </w:pPr>
      <w:r>
        <w:rPr>
          <w:rFonts w:ascii="Garamond" w:hAnsi="Garamond" w:cs="David" w:hint="cs"/>
          <w:rtl/>
        </w:rPr>
        <w:t xml:space="preserve">כמו כן, מוצע לקבוע מנגנון המאפשר לאדם שהממונה הכריז עליו כעל בעל מונופולין לפנות אל הממונה בבקשה שיבחן מחדש את הכרזתו, וזאת בהתקיים תנאים מסוימים המפורטים בתזכיר. </w:t>
      </w:r>
    </w:p>
    <w:p w:rsidR="00000000" w:rsidRDefault="00E64229">
      <w:pPr>
        <w:pStyle w:val="a5"/>
        <w:bidi/>
        <w:spacing w:line="360" w:lineRule="auto"/>
        <w:ind w:left="1080"/>
        <w:contextualSpacing/>
        <w:jc w:val="both"/>
        <w:divId w:val="930164982"/>
        <w:rPr>
          <w:rFonts w:ascii="Garamond" w:hAnsi="Garamond" w:hint="cs"/>
          <w:rtl/>
        </w:rPr>
      </w:pPr>
    </w:p>
    <w:p w:rsidR="00000000" w:rsidRDefault="00E64229">
      <w:pPr>
        <w:pStyle w:val="a5"/>
        <w:numPr>
          <w:ilvl w:val="0"/>
          <w:numId w:val="2"/>
        </w:numPr>
        <w:bidi/>
        <w:spacing w:line="360" w:lineRule="auto"/>
        <w:ind w:right="-426"/>
        <w:contextualSpacing/>
        <w:jc w:val="both"/>
        <w:divId w:val="930164982"/>
        <w:rPr>
          <w:rFonts w:ascii="Garamond" w:hAnsi="Garamond"/>
          <w:b/>
          <w:bCs/>
          <w:u w:val="single"/>
        </w:rPr>
      </w:pPr>
      <w:r>
        <w:rPr>
          <w:rFonts w:ascii="Garamond" w:hAnsi="Garamond" w:cs="David" w:hint="cs"/>
          <w:b/>
          <w:bCs/>
          <w:u w:val="single"/>
          <w:rtl/>
        </w:rPr>
        <w:t>השפעת החוק המוצע על החוק הקיים:</w:t>
      </w:r>
    </w:p>
    <w:p w:rsidR="00000000" w:rsidRDefault="00E64229">
      <w:pPr>
        <w:bidi/>
        <w:spacing w:line="360" w:lineRule="auto"/>
        <w:ind w:left="720" w:right="-426"/>
        <w:divId w:val="930164982"/>
        <w:rPr>
          <w:rFonts w:ascii="Garamond" w:hAnsi="Garamond" w:cs="David"/>
        </w:rPr>
      </w:pPr>
      <w:r>
        <w:rPr>
          <w:rFonts w:ascii="Garamond" w:hAnsi="Garamond" w:cs="David" w:hint="cs"/>
          <w:rtl/>
        </w:rPr>
        <w:t>יתוקן חוק ההגבלים העסקיים, התשמ"ח-1988.</w:t>
      </w:r>
    </w:p>
    <w:p w:rsidR="00000000" w:rsidRDefault="00E64229">
      <w:pPr>
        <w:bidi/>
        <w:spacing w:line="360" w:lineRule="auto"/>
        <w:ind w:right="-426"/>
        <w:divId w:val="930164982"/>
        <w:rPr>
          <w:rFonts w:ascii="Garamond" w:hAnsi="Garamond" w:cs="David" w:hint="cs"/>
          <w:rtl/>
        </w:rPr>
      </w:pPr>
    </w:p>
    <w:p w:rsidR="00000000" w:rsidRDefault="00E64229">
      <w:pPr>
        <w:pStyle w:val="a5"/>
        <w:numPr>
          <w:ilvl w:val="0"/>
          <w:numId w:val="2"/>
        </w:numPr>
        <w:bidi/>
        <w:spacing w:line="360" w:lineRule="auto"/>
        <w:ind w:right="-426"/>
        <w:contextualSpacing/>
        <w:jc w:val="both"/>
        <w:divId w:val="930164982"/>
        <w:rPr>
          <w:rFonts w:ascii="Garamond" w:hAnsi="Garamond" w:hint="cs"/>
          <w:b/>
          <w:bCs/>
          <w:u w:val="single"/>
          <w:rtl/>
        </w:rPr>
      </w:pPr>
      <w:r>
        <w:rPr>
          <w:rFonts w:ascii="Garamond" w:hAnsi="Garamond" w:cs="David" w:hint="cs"/>
          <w:b/>
          <w:bCs/>
          <w:u w:val="single"/>
          <w:rtl/>
        </w:rPr>
        <w:t>השפעת החוק המוצע על תקציב המדינה, תקנים במשרדי הממשלה וההיבט המינהלי:</w:t>
      </w:r>
    </w:p>
    <w:p w:rsidR="00000000" w:rsidRDefault="00E64229">
      <w:pPr>
        <w:bidi/>
        <w:spacing w:line="360" w:lineRule="auto"/>
        <w:ind w:left="651" w:right="-426"/>
        <w:divId w:val="930164982"/>
        <w:rPr>
          <w:rFonts w:ascii="Garamond" w:hAnsi="Garamond" w:cs="David"/>
        </w:rPr>
      </w:pPr>
      <w:r>
        <w:rPr>
          <w:rFonts w:ascii="Garamond" w:hAnsi="Garamond" w:cs="David" w:hint="cs"/>
          <w:rtl/>
        </w:rPr>
        <w:t>אין.</w:t>
      </w:r>
    </w:p>
    <w:p w:rsidR="00000000" w:rsidRDefault="00E64229">
      <w:pPr>
        <w:pStyle w:val="a5"/>
        <w:numPr>
          <w:ilvl w:val="0"/>
          <w:numId w:val="2"/>
        </w:numPr>
        <w:bidi/>
        <w:spacing w:line="360" w:lineRule="auto"/>
        <w:ind w:right="-426"/>
        <w:contextualSpacing/>
        <w:jc w:val="both"/>
        <w:divId w:val="930164982"/>
        <w:rPr>
          <w:rFonts w:ascii="Garamond" w:hAnsi="Garamond" w:hint="cs"/>
          <w:b/>
          <w:bCs/>
          <w:u w:val="single"/>
          <w:rtl/>
        </w:rPr>
      </w:pPr>
      <w:r>
        <w:rPr>
          <w:rFonts w:ascii="Garamond" w:hAnsi="Garamond" w:cs="David" w:hint="cs"/>
          <w:b/>
          <w:bCs/>
          <w:u w:val="single"/>
          <w:rtl/>
        </w:rPr>
        <w:t>להלן הנוסח המוצע:</w:t>
      </w:r>
    </w:p>
    <w:p w:rsidR="00000000" w:rsidRDefault="00E64229">
      <w:pPr>
        <w:pStyle w:val="headhatzaothok"/>
        <w:widowControl w:val="0"/>
        <w:bidi/>
        <w:spacing w:before="0" w:beforeAutospacing="0"/>
        <w:divId w:val="930164982"/>
        <w:rPr>
          <w:rFonts w:ascii="Garamond" w:hAnsi="Garamond" w:cs="David"/>
          <w:sz w:val="20"/>
          <w:szCs w:val="26"/>
        </w:rPr>
      </w:pPr>
    </w:p>
    <w:p w:rsidR="00000000" w:rsidRDefault="00E64229">
      <w:pPr>
        <w:pStyle w:val="headhatzaothok"/>
        <w:widowControl w:val="0"/>
        <w:bidi/>
        <w:spacing w:before="0" w:beforeAutospacing="0"/>
        <w:divId w:val="930164982"/>
        <w:rPr>
          <w:rFonts w:ascii="Garamond" w:hAnsi="Garamond" w:cs="David" w:hint="cs"/>
          <w:sz w:val="20"/>
          <w:szCs w:val="26"/>
          <w:rtl/>
        </w:rPr>
      </w:pPr>
      <w:r>
        <w:rPr>
          <w:rFonts w:ascii="Garamond" w:hAnsi="Garamond" w:cs="David" w:hint="cs"/>
          <w:sz w:val="20"/>
          <w:szCs w:val="26"/>
          <w:rtl/>
        </w:rPr>
        <w:t>תזכיר חוק ההגבלים העסקיים (תיקון מס' --) (הכרזה בדבר מונופולין על-פי כוח שוק), התשע"ה–</w:t>
      </w:r>
      <w:r>
        <w:rPr>
          <w:rFonts w:ascii="Garamond" w:hAnsi="Garamond" w:cs="David" w:hint="cs"/>
          <w:sz w:val="20"/>
          <w:szCs w:val="26"/>
          <w:rtl/>
        </w:rPr>
        <w:t>2015</w:t>
      </w:r>
    </w:p>
    <w:tbl>
      <w:tblPr>
        <w:bidiVisual/>
        <w:tblW w:w="8880" w:type="dxa"/>
        <w:tblLayout w:type="fixed"/>
        <w:tblCellMar>
          <w:top w:w="57" w:type="dxa"/>
          <w:left w:w="0" w:type="dxa"/>
          <w:bottom w:w="57" w:type="dxa"/>
          <w:right w:w="0" w:type="dxa"/>
        </w:tblCellMar>
        <w:tblLook w:val="01E0" w:firstRow="1" w:lastRow="1" w:firstColumn="1" w:lastColumn="1" w:noHBand="0" w:noVBand="0"/>
      </w:tblPr>
      <w:tblGrid>
        <w:gridCol w:w="1389"/>
        <w:gridCol w:w="255"/>
        <w:gridCol w:w="7236"/>
      </w:tblGrid>
      <w:tr w:rsidR="00000000">
        <w:trPr>
          <w:divId w:val="930164982"/>
          <w:cantSplit/>
          <w:trHeight w:val="60"/>
        </w:trPr>
        <w:tc>
          <w:tcPr>
            <w:tcW w:w="1388" w:type="dxa"/>
            <w:hideMark/>
          </w:tcPr>
          <w:p w:rsidR="00000000" w:rsidRDefault="00E64229">
            <w:pPr>
              <w:pStyle w:val="tablesideheading"/>
              <w:widowControl w:val="0"/>
              <w:bidi/>
              <w:rPr>
                <w:rFonts w:ascii="Garamond" w:hAnsi="Garamond" w:cs="David"/>
                <w:sz w:val="26"/>
                <w:szCs w:val="26"/>
              </w:rPr>
            </w:pPr>
            <w:r>
              <w:rPr>
                <w:rFonts w:ascii="Garamond" w:hAnsi="Garamond" w:cs="David" w:hint="cs"/>
                <w:sz w:val="26"/>
                <w:szCs w:val="26"/>
                <w:rtl/>
              </w:rPr>
              <w:t xml:space="preserve">תיקון סעיף 26 </w:t>
            </w:r>
          </w:p>
        </w:tc>
        <w:tc>
          <w:tcPr>
            <w:tcW w:w="255" w:type="dxa"/>
          </w:tcPr>
          <w:p w:rsidR="00000000" w:rsidRDefault="00E64229">
            <w:pPr>
              <w:pStyle w:val="tabletext"/>
              <w:widowControl w:val="0"/>
              <w:numPr>
                <w:ilvl w:val="0"/>
                <w:numId w:val="6"/>
              </w:numPr>
              <w:tabs>
                <w:tab w:val="clear" w:pos="720"/>
                <w:tab w:val="num" w:pos="0"/>
                <w:tab w:val="left" w:pos="624"/>
                <w:tab w:val="left" w:pos="1247"/>
              </w:tabs>
              <w:bidi/>
              <w:ind w:left="0" w:right="720" w:firstLine="0"/>
              <w:rPr>
                <w:rFonts w:ascii="Garamond" w:hAnsi="Garamond"/>
              </w:rPr>
            </w:pPr>
          </w:p>
        </w:tc>
        <w:tc>
          <w:tcPr>
            <w:tcW w:w="7230" w:type="dxa"/>
            <w:hideMark/>
          </w:tcPr>
          <w:p w:rsidR="00000000" w:rsidRDefault="00E64229">
            <w:pPr>
              <w:pStyle w:val="tableblock"/>
              <w:widowControl w:val="0"/>
              <w:bidi/>
              <w:rPr>
                <w:rFonts w:ascii="Garamond" w:hAnsi="Garamond" w:cs="David"/>
                <w:sz w:val="26"/>
                <w:szCs w:val="26"/>
              </w:rPr>
            </w:pPr>
            <w:r>
              <w:rPr>
                <w:rFonts w:ascii="Garamond" w:hAnsi="Garamond" w:cs="David" w:hint="cs"/>
                <w:sz w:val="26"/>
                <w:szCs w:val="26"/>
                <w:rtl/>
              </w:rPr>
              <w:t>בחוק ההגבלים העסקיים, התשמ"ח-1988</w:t>
            </w:r>
            <w:r>
              <w:rPr>
                <w:rStyle w:val="a6"/>
                <w:rFonts w:ascii="Garamond" w:hAnsi="Garamond" w:cs="David"/>
                <w:sz w:val="26"/>
                <w:szCs w:val="26"/>
                <w:rtl/>
              </w:rPr>
              <w:footnoteReference w:id="2"/>
            </w:r>
            <w:r>
              <w:rPr>
                <w:rFonts w:ascii="Garamond" w:hAnsi="Garamond" w:cs="David" w:hint="cs"/>
                <w:sz w:val="26"/>
                <w:szCs w:val="26"/>
                <w:rtl/>
              </w:rPr>
              <w:t xml:space="preserve"> (להלן – החוק העיקרי), בסעיף 26 –</w:t>
            </w:r>
          </w:p>
        </w:tc>
      </w:tr>
      <w:tr w:rsidR="00000000">
        <w:trPr>
          <w:divId w:val="930164982"/>
          <w:cantSplit/>
          <w:trHeight w:val="60"/>
        </w:trPr>
        <w:tc>
          <w:tcPr>
            <w:tcW w:w="1388" w:type="dxa"/>
          </w:tcPr>
          <w:p w:rsidR="00000000" w:rsidRDefault="00E64229">
            <w:pPr>
              <w:pStyle w:val="tablesideheading"/>
              <w:widowControl w:val="0"/>
              <w:bidi/>
              <w:rPr>
                <w:rFonts w:ascii="Garamond" w:hAnsi="Garamond" w:cs="David"/>
                <w:sz w:val="26"/>
                <w:szCs w:val="26"/>
              </w:rPr>
            </w:pPr>
          </w:p>
        </w:tc>
        <w:tc>
          <w:tcPr>
            <w:tcW w:w="255" w:type="dxa"/>
          </w:tcPr>
          <w:p w:rsidR="00000000" w:rsidRDefault="00E64229">
            <w:pPr>
              <w:pStyle w:val="tabletext"/>
              <w:widowControl w:val="0"/>
              <w:bidi/>
              <w:rPr>
                <w:rFonts w:ascii="Garamond" w:hAnsi="Garamond"/>
              </w:rPr>
            </w:pPr>
          </w:p>
        </w:tc>
        <w:tc>
          <w:tcPr>
            <w:tcW w:w="7230" w:type="dxa"/>
            <w:hideMark/>
          </w:tcPr>
          <w:p w:rsidR="00000000" w:rsidRDefault="00E64229">
            <w:pPr>
              <w:pStyle w:val="tableblock"/>
              <w:widowControl w:val="0"/>
              <w:numPr>
                <w:ilvl w:val="1"/>
                <w:numId w:val="6"/>
              </w:numPr>
              <w:tabs>
                <w:tab w:val="num" w:pos="624"/>
                <w:tab w:val="left" w:pos="1247"/>
              </w:tabs>
              <w:bidi/>
              <w:ind w:left="0" w:right="1440" w:firstLine="0"/>
              <w:rPr>
                <w:rFonts w:ascii="Garamond" w:hAnsi="Garamond" w:cs="David"/>
                <w:sz w:val="26"/>
                <w:szCs w:val="26"/>
              </w:rPr>
            </w:pPr>
            <w:r>
              <w:rPr>
                <w:rFonts w:ascii="Garamond" w:hAnsi="Garamond" w:cs="David" w:hint="cs"/>
                <w:sz w:val="26"/>
                <w:szCs w:val="26"/>
                <w:rtl/>
              </w:rPr>
              <w:t>בסעיף קטן (א), אחרי "ממחצית מכלל מתן שירותים, או מכלל רכישתם" יבוא "(בסעיף זה – יותר ממחצית מהנכסים או יותר ממחצית מהשירותים)";</w:t>
            </w:r>
          </w:p>
        </w:tc>
      </w:tr>
      <w:tr w:rsidR="00000000">
        <w:trPr>
          <w:divId w:val="930164982"/>
          <w:cantSplit/>
          <w:trHeight w:val="60"/>
        </w:trPr>
        <w:tc>
          <w:tcPr>
            <w:tcW w:w="1388" w:type="dxa"/>
          </w:tcPr>
          <w:p w:rsidR="00000000" w:rsidRDefault="00E64229">
            <w:pPr>
              <w:pStyle w:val="tablesideheading"/>
              <w:widowControl w:val="0"/>
              <w:bidi/>
              <w:rPr>
                <w:rFonts w:ascii="Garamond" w:hAnsi="Garamond" w:cs="David"/>
                <w:sz w:val="26"/>
                <w:szCs w:val="26"/>
              </w:rPr>
            </w:pPr>
          </w:p>
        </w:tc>
        <w:tc>
          <w:tcPr>
            <w:tcW w:w="255" w:type="dxa"/>
          </w:tcPr>
          <w:p w:rsidR="00000000" w:rsidRDefault="00E64229">
            <w:pPr>
              <w:pStyle w:val="tabletext"/>
              <w:widowControl w:val="0"/>
              <w:bidi/>
              <w:rPr>
                <w:rFonts w:ascii="Garamond" w:hAnsi="Garamond"/>
              </w:rPr>
            </w:pPr>
          </w:p>
        </w:tc>
        <w:tc>
          <w:tcPr>
            <w:tcW w:w="7230" w:type="dxa"/>
            <w:hideMark/>
          </w:tcPr>
          <w:p w:rsidR="00000000" w:rsidRDefault="00E64229">
            <w:pPr>
              <w:pStyle w:val="tableblock"/>
              <w:widowControl w:val="0"/>
              <w:numPr>
                <w:ilvl w:val="1"/>
                <w:numId w:val="6"/>
              </w:numPr>
              <w:tabs>
                <w:tab w:val="num" w:pos="624"/>
                <w:tab w:val="left" w:pos="1247"/>
              </w:tabs>
              <w:bidi/>
              <w:ind w:left="0" w:right="1440" w:firstLine="0"/>
              <w:rPr>
                <w:rFonts w:ascii="Garamond" w:hAnsi="Garamond" w:cs="David"/>
                <w:sz w:val="26"/>
                <w:szCs w:val="26"/>
              </w:rPr>
            </w:pPr>
            <w:r>
              <w:rPr>
                <w:rFonts w:ascii="Garamond" w:hAnsi="Garamond" w:cs="David" w:hint="cs"/>
                <w:sz w:val="26"/>
                <w:szCs w:val="26"/>
                <w:rtl/>
              </w:rPr>
              <w:t>אחרי סעיף קטן (א) יבוא:</w:t>
            </w:r>
          </w:p>
        </w:tc>
      </w:tr>
      <w:tr w:rsidR="00000000">
        <w:trPr>
          <w:divId w:val="930164982"/>
          <w:cantSplit/>
          <w:trHeight w:val="60"/>
        </w:trPr>
        <w:tc>
          <w:tcPr>
            <w:tcW w:w="1388" w:type="dxa"/>
          </w:tcPr>
          <w:p w:rsidR="00000000" w:rsidRDefault="00E64229">
            <w:pPr>
              <w:pStyle w:val="tablesideheading"/>
              <w:widowControl w:val="0"/>
              <w:bidi/>
              <w:rPr>
                <w:rFonts w:ascii="Garamond" w:hAnsi="Garamond" w:cs="David"/>
                <w:sz w:val="26"/>
                <w:szCs w:val="26"/>
              </w:rPr>
            </w:pPr>
          </w:p>
        </w:tc>
        <w:tc>
          <w:tcPr>
            <w:tcW w:w="255" w:type="dxa"/>
          </w:tcPr>
          <w:p w:rsidR="00000000" w:rsidRDefault="00E64229">
            <w:pPr>
              <w:pStyle w:val="tabletext"/>
              <w:widowControl w:val="0"/>
              <w:bidi/>
              <w:rPr>
                <w:rFonts w:ascii="Garamond" w:hAnsi="Garamond"/>
              </w:rPr>
            </w:pPr>
          </w:p>
        </w:tc>
        <w:tc>
          <w:tcPr>
            <w:tcW w:w="7230" w:type="dxa"/>
            <w:hideMark/>
          </w:tcPr>
          <w:p w:rsidR="00000000" w:rsidRDefault="00E64229">
            <w:pPr>
              <w:pStyle w:val="tableblock"/>
              <w:widowControl w:val="0"/>
              <w:tabs>
                <w:tab w:val="left" w:pos="1247"/>
              </w:tabs>
              <w:bidi/>
              <w:ind w:left="630"/>
              <w:rPr>
                <w:rFonts w:ascii="Garamond" w:hAnsi="Garamond" w:cs="David"/>
                <w:sz w:val="26"/>
                <w:szCs w:val="26"/>
              </w:rPr>
            </w:pPr>
            <w:r>
              <w:rPr>
                <w:rFonts w:ascii="Garamond" w:hAnsi="Garamond" w:cs="David" w:hint="cs"/>
                <w:sz w:val="26"/>
                <w:szCs w:val="26"/>
                <w:rtl/>
              </w:rPr>
              <w:t>"(א1)</w:t>
            </w:r>
            <w:r>
              <w:rPr>
                <w:rFonts w:ascii="Garamond" w:hAnsi="Garamond" w:cs="David" w:hint="cs"/>
                <w:sz w:val="26"/>
                <w:szCs w:val="26"/>
                <w:rtl/>
              </w:rPr>
              <w:tab/>
            </w:r>
            <w:r>
              <w:rPr>
                <w:rFonts w:ascii="Garamond" w:hAnsi="Garamond" w:cs="David" w:hint="cs"/>
                <w:sz w:val="26"/>
                <w:szCs w:val="26"/>
                <w:rtl/>
              </w:rPr>
              <w:t>(1) בלי לגרוע מהאמור בסעיף קטן (א), אדם המרכז בידיו כוח שוק לגבי אספקת נכסים או רכישתם, או לגבי מתן שירותים או רכישתם, אף אם אינו מרכז יותר ממחצית מהנכסים או יותר ממחצית מהשירותים, יראו את כוח השוק שבידיו כמונופולין ואת אותו אדם כבעל מונופולין, אם הכריז על</w:t>
            </w:r>
            <w:r>
              <w:rPr>
                <w:rFonts w:ascii="Garamond" w:hAnsi="Garamond" w:cs="David" w:hint="cs"/>
                <w:sz w:val="26"/>
                <w:szCs w:val="26"/>
                <w:rtl/>
              </w:rPr>
              <w:t xml:space="preserve"> כך הממונה בהודעה ברשומות.</w:t>
            </w:r>
          </w:p>
        </w:tc>
      </w:tr>
      <w:tr w:rsidR="00000000">
        <w:trPr>
          <w:divId w:val="930164982"/>
          <w:cantSplit/>
          <w:trHeight w:val="60"/>
        </w:trPr>
        <w:tc>
          <w:tcPr>
            <w:tcW w:w="1388" w:type="dxa"/>
          </w:tcPr>
          <w:p w:rsidR="00000000" w:rsidRDefault="00E64229">
            <w:pPr>
              <w:pStyle w:val="tablesideheading"/>
              <w:widowControl w:val="0"/>
              <w:bidi/>
              <w:rPr>
                <w:rFonts w:ascii="Garamond" w:hAnsi="Garamond" w:cs="David"/>
                <w:sz w:val="26"/>
                <w:szCs w:val="26"/>
              </w:rPr>
            </w:pPr>
          </w:p>
        </w:tc>
        <w:tc>
          <w:tcPr>
            <w:tcW w:w="255" w:type="dxa"/>
          </w:tcPr>
          <w:p w:rsidR="00000000" w:rsidRDefault="00E64229">
            <w:pPr>
              <w:pStyle w:val="tabletext"/>
              <w:widowControl w:val="0"/>
              <w:bidi/>
              <w:rPr>
                <w:rFonts w:ascii="Garamond" w:hAnsi="Garamond"/>
              </w:rPr>
            </w:pPr>
          </w:p>
        </w:tc>
        <w:tc>
          <w:tcPr>
            <w:tcW w:w="7230" w:type="dxa"/>
            <w:hideMark/>
          </w:tcPr>
          <w:p w:rsidR="00000000" w:rsidRDefault="00E64229">
            <w:pPr>
              <w:pStyle w:val="tableblock"/>
              <w:widowControl w:val="0"/>
              <w:tabs>
                <w:tab w:val="left" w:pos="1247"/>
              </w:tabs>
              <w:bidi/>
              <w:ind w:left="1245"/>
              <w:rPr>
                <w:rFonts w:ascii="Garamond" w:hAnsi="Garamond" w:cs="David"/>
                <w:sz w:val="26"/>
                <w:szCs w:val="26"/>
              </w:rPr>
            </w:pPr>
            <w:r>
              <w:rPr>
                <w:rFonts w:ascii="Garamond" w:hAnsi="Garamond" w:cs="David" w:hint="cs"/>
                <w:sz w:val="26"/>
                <w:szCs w:val="26"/>
                <w:rtl/>
              </w:rPr>
              <w:tab/>
              <w:t xml:space="preserve">(2) הכריז הממונה על מונופולין ועל בעל מונופולין לפי פסקה (1), רשאי </w:t>
            </w:r>
            <w:r>
              <w:rPr>
                <w:rFonts w:ascii="Garamond" w:hAnsi="Garamond" w:cs="David" w:hint="cs"/>
                <w:sz w:val="20"/>
                <w:szCs w:val="26"/>
                <w:rtl/>
              </w:rPr>
              <w:t>האדם שהכריז עליו הממונה כעל בעל מונופולין לפנות אל הממונה בבקשה שיבחן מחדש את הכרזתו (בסעיף זה – בחינה מחדש), ובלבד שיש בידיו להראות כי ממועד ההכרזה השת</w:t>
            </w:r>
            <w:r>
              <w:rPr>
                <w:rFonts w:ascii="Garamond" w:hAnsi="Garamond" w:cs="David" w:hint="cs"/>
                <w:sz w:val="20"/>
                <w:szCs w:val="26"/>
                <w:rtl/>
              </w:rPr>
              <w:t>נו הנסיבות באופן המצדיק בחינה מחדש של ההכרזה; מצא הממונה כי בעל המונופולין הראה שהשתנו הנסיבות ושכתוצאה מהשתנותן יש הצדקה של ממש לבחון מחדש את הכרזתו, יערוך בחינה מחדש כאמור;</w:t>
            </w:r>
            <w:r>
              <w:rPr>
                <w:rFonts w:ascii="Garamond" w:hAnsi="Garamond" w:cs="David" w:hint="cs"/>
                <w:sz w:val="26"/>
                <w:szCs w:val="26"/>
                <w:rtl/>
              </w:rPr>
              <w:t xml:space="preserve"> הממונה ימסור לבעל המונופולין הודעה בדבר החלטתו בבקשה לבחינה מחדש לפי פסקה זו.</w:t>
            </w:r>
          </w:p>
        </w:tc>
      </w:tr>
      <w:tr w:rsidR="00000000">
        <w:trPr>
          <w:divId w:val="930164982"/>
          <w:cantSplit/>
          <w:trHeight w:val="60"/>
        </w:trPr>
        <w:tc>
          <w:tcPr>
            <w:tcW w:w="1388" w:type="dxa"/>
          </w:tcPr>
          <w:p w:rsidR="00000000" w:rsidRDefault="00E64229">
            <w:pPr>
              <w:pStyle w:val="tablesideheading"/>
              <w:widowControl w:val="0"/>
              <w:bidi/>
              <w:rPr>
                <w:rFonts w:ascii="Garamond" w:hAnsi="Garamond" w:cs="David"/>
                <w:sz w:val="26"/>
                <w:szCs w:val="26"/>
              </w:rPr>
            </w:pPr>
          </w:p>
        </w:tc>
        <w:tc>
          <w:tcPr>
            <w:tcW w:w="255" w:type="dxa"/>
          </w:tcPr>
          <w:p w:rsidR="00000000" w:rsidRDefault="00E64229">
            <w:pPr>
              <w:pStyle w:val="tabletext"/>
              <w:widowControl w:val="0"/>
              <w:bidi/>
              <w:rPr>
                <w:rFonts w:ascii="Garamond" w:hAnsi="Garamond"/>
              </w:rPr>
            </w:pPr>
          </w:p>
        </w:tc>
        <w:tc>
          <w:tcPr>
            <w:tcW w:w="7230" w:type="dxa"/>
            <w:hideMark/>
          </w:tcPr>
          <w:p w:rsidR="00000000" w:rsidRDefault="00E64229">
            <w:pPr>
              <w:pStyle w:val="tableblock"/>
              <w:widowControl w:val="0"/>
              <w:tabs>
                <w:tab w:val="left" w:pos="1247"/>
              </w:tabs>
              <w:bidi/>
              <w:ind w:left="1259"/>
              <w:rPr>
                <w:rFonts w:ascii="Garamond" w:hAnsi="Garamond" w:cs="David"/>
                <w:sz w:val="26"/>
                <w:szCs w:val="26"/>
              </w:rPr>
            </w:pPr>
            <w:r>
              <w:rPr>
                <w:rFonts w:ascii="Garamond" w:hAnsi="Garamond" w:cs="David" w:hint="cs"/>
                <w:sz w:val="26"/>
                <w:szCs w:val="26"/>
                <w:rtl/>
              </w:rPr>
              <w:t xml:space="preserve">(3) החליט הממונה לערוך בחינה מחדש לפי פסקה (2), יהיה רשאי הממונה להחליט להותיר את ההכרזה על כנה, לבטלה או לשנותה והוא ימסור לבעל המונופולין הודעה בדבר החלטתו כאמור. </w:t>
            </w:r>
          </w:p>
        </w:tc>
      </w:tr>
      <w:tr w:rsidR="00000000">
        <w:trPr>
          <w:divId w:val="930164982"/>
          <w:cantSplit/>
          <w:trHeight w:val="60"/>
        </w:trPr>
        <w:tc>
          <w:tcPr>
            <w:tcW w:w="1388" w:type="dxa"/>
          </w:tcPr>
          <w:p w:rsidR="00000000" w:rsidRDefault="00E64229">
            <w:pPr>
              <w:pStyle w:val="tablesideheading"/>
              <w:widowControl w:val="0"/>
              <w:bidi/>
              <w:rPr>
                <w:rFonts w:ascii="Garamond" w:hAnsi="Garamond" w:cs="David"/>
                <w:sz w:val="26"/>
                <w:szCs w:val="26"/>
              </w:rPr>
            </w:pPr>
          </w:p>
        </w:tc>
        <w:tc>
          <w:tcPr>
            <w:tcW w:w="255" w:type="dxa"/>
          </w:tcPr>
          <w:p w:rsidR="00000000" w:rsidRDefault="00E64229">
            <w:pPr>
              <w:pStyle w:val="tabletext"/>
              <w:widowControl w:val="0"/>
              <w:bidi/>
              <w:rPr>
                <w:rFonts w:ascii="Garamond" w:hAnsi="Garamond"/>
              </w:rPr>
            </w:pPr>
          </w:p>
        </w:tc>
        <w:tc>
          <w:tcPr>
            <w:tcW w:w="7230" w:type="dxa"/>
            <w:hideMark/>
          </w:tcPr>
          <w:p w:rsidR="00000000" w:rsidRDefault="00E64229">
            <w:pPr>
              <w:pStyle w:val="tableblock"/>
              <w:widowControl w:val="0"/>
              <w:tabs>
                <w:tab w:val="left" w:pos="1247"/>
              </w:tabs>
              <w:bidi/>
              <w:ind w:left="1231"/>
              <w:rPr>
                <w:rFonts w:ascii="Garamond" w:hAnsi="Garamond" w:cs="David"/>
                <w:sz w:val="26"/>
                <w:szCs w:val="26"/>
              </w:rPr>
            </w:pPr>
            <w:r>
              <w:rPr>
                <w:rFonts w:ascii="Garamond" w:hAnsi="Garamond" w:cs="David" w:hint="cs"/>
                <w:sz w:val="26"/>
                <w:szCs w:val="26"/>
                <w:rtl/>
              </w:rPr>
              <w:tab/>
              <w:t xml:space="preserve">(4) על הכרזה כאמור בפסקה (1) ועל החלטת הממונה </w:t>
            </w:r>
            <w:r>
              <w:rPr>
                <w:rFonts w:ascii="Garamond" w:hAnsi="Garamond" w:cs="David" w:hint="cs"/>
                <w:sz w:val="26"/>
                <w:szCs w:val="26"/>
                <w:rtl/>
              </w:rPr>
              <w:t>במסגרת בחינה מחדש כאמור בפסקה (3) יחולו הוראות סעיף 43(ב) עד (ה)."</w:t>
            </w:r>
          </w:p>
        </w:tc>
      </w:tr>
      <w:tr w:rsidR="00000000">
        <w:trPr>
          <w:divId w:val="930164982"/>
          <w:cantSplit/>
          <w:trHeight w:val="220"/>
        </w:trPr>
        <w:tc>
          <w:tcPr>
            <w:tcW w:w="1388" w:type="dxa"/>
          </w:tcPr>
          <w:p w:rsidR="00000000" w:rsidRDefault="00E64229">
            <w:pPr>
              <w:pStyle w:val="tablesideheading"/>
              <w:widowControl w:val="0"/>
              <w:bidi/>
              <w:rPr>
                <w:rFonts w:ascii="Garamond" w:hAnsi="Garamond" w:cs="David"/>
                <w:sz w:val="26"/>
                <w:szCs w:val="26"/>
              </w:rPr>
            </w:pPr>
          </w:p>
        </w:tc>
        <w:tc>
          <w:tcPr>
            <w:tcW w:w="255" w:type="dxa"/>
          </w:tcPr>
          <w:p w:rsidR="00000000" w:rsidRDefault="00E64229">
            <w:pPr>
              <w:pStyle w:val="tabletext"/>
              <w:widowControl w:val="0"/>
              <w:bidi/>
              <w:rPr>
                <w:rFonts w:ascii="Garamond" w:hAnsi="Garamond"/>
                <w:sz w:val="26"/>
                <w:szCs w:val="26"/>
              </w:rPr>
            </w:pPr>
          </w:p>
        </w:tc>
        <w:tc>
          <w:tcPr>
            <w:tcW w:w="7230" w:type="dxa"/>
          </w:tcPr>
          <w:p w:rsidR="00000000" w:rsidRDefault="00E64229">
            <w:pPr>
              <w:pStyle w:val="tableblock"/>
              <w:widowControl w:val="0"/>
              <w:bidi/>
              <w:rPr>
                <w:rFonts w:ascii="Garamond" w:hAnsi="Garamond" w:cs="David"/>
                <w:sz w:val="26"/>
                <w:szCs w:val="26"/>
              </w:rPr>
            </w:pPr>
          </w:p>
        </w:tc>
      </w:tr>
    </w:tbl>
    <w:p w:rsidR="00000000" w:rsidRDefault="00E64229">
      <w:pPr>
        <w:bidi/>
        <w:spacing w:after="100" w:afterAutospacing="1" w:line="360" w:lineRule="auto"/>
        <w:divId w:val="930164982"/>
        <w:rPr>
          <w:rFonts w:ascii="Garamond" w:eastAsia="Arial Unicode MS" w:hAnsi="Garamond" w:cs="David" w:hint="cs"/>
          <w:sz w:val="26"/>
          <w:szCs w:val="26"/>
          <w:rtl/>
        </w:rPr>
      </w:pPr>
    </w:p>
    <w:p w:rsidR="00000000" w:rsidRDefault="00E64229">
      <w:pPr>
        <w:pStyle w:val="a9"/>
        <w:divId w:val="1853907119"/>
        <w:rPr>
          <w:rFonts w:hint="cs"/>
          <w:szCs w:val="14"/>
        </w:rPr>
      </w:pPr>
    </w:p>
    <w:p w:rsidR="00E64229" w:rsidRDefault="00E64229">
      <w:pPr>
        <w:divId w:val="1853907119"/>
        <w:rPr>
          <w:rFonts w:eastAsia="Times New Roman"/>
        </w:rPr>
      </w:pPr>
      <w:r>
        <w:rPr>
          <w:rFonts w:eastAsia="Times New Roman"/>
        </w:rPr>
        <w:t>\</w:t>
      </w:r>
    </w:p>
    <w:sectPr w:rsidR="00E6422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229" w:rsidRDefault="00E64229">
      <w:r>
        <w:separator/>
      </w:r>
    </w:p>
  </w:endnote>
  <w:endnote w:type="continuationSeparator" w:id="0">
    <w:p w:rsidR="00E64229" w:rsidRDefault="00E6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229" w:rsidRDefault="00E64229">
      <w:r>
        <w:separator/>
      </w:r>
    </w:p>
  </w:footnote>
  <w:footnote w:type="continuationSeparator" w:id="0">
    <w:p w:rsidR="00E64229" w:rsidRDefault="00E64229">
      <w:r>
        <w:continuationSeparator/>
      </w:r>
    </w:p>
  </w:footnote>
  <w:footnote w:id="1">
    <w:p w:rsidR="00000000" w:rsidRDefault="00E64229">
      <w:pPr>
        <w:pStyle w:val="a7"/>
        <w:bidi/>
        <w:rPr>
          <w:rFonts w:ascii="Garamond" w:hAnsi="Garamond"/>
          <w:sz w:val="20"/>
          <w:szCs w:val="20"/>
        </w:rPr>
      </w:pPr>
      <w:r>
        <w:rPr>
          <w:rStyle w:val="a6"/>
          <w:rFonts w:ascii="Garamond" w:hAnsi="Garamond"/>
          <w:sz w:val="20"/>
          <w:szCs w:val="20"/>
        </w:rPr>
        <w:footnoteRef/>
      </w:r>
      <w:r>
        <w:rPr>
          <w:rFonts w:ascii="Garamond" w:hAnsi="Garamond" w:cs="David" w:hint="cs"/>
          <w:sz w:val="20"/>
          <w:szCs w:val="20"/>
          <w:rtl/>
        </w:rPr>
        <w:t xml:space="preserve"> ראו לעניין זה את סעיף 102 לאמנת האיחוד האירופי. </w:t>
      </w:r>
    </w:p>
  </w:footnote>
  <w:footnote w:id="2">
    <w:p w:rsidR="00000000" w:rsidRDefault="00E64229">
      <w:pPr>
        <w:pStyle w:val="a7"/>
        <w:bidi/>
      </w:pPr>
      <w:r>
        <w:rPr>
          <w:rStyle w:val="a6"/>
          <w:rFonts w:ascii="Arial" w:hAnsi="Arial"/>
        </w:rPr>
        <w:footnoteRef/>
      </w:r>
      <w:r>
        <w:rPr>
          <w:rFonts w:cs="David" w:hint="cs"/>
          <w:sz w:val="14"/>
          <w:szCs w:val="20"/>
          <w:rtl/>
        </w:rPr>
        <w:t xml:space="preserve"> ס"ח התשמ"ח, עמ' 128; התשע"ה, עמ' 104.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38D3"/>
    <w:multiLevelType w:val="multilevel"/>
    <w:tmpl w:val="91864E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9F26409"/>
    <w:multiLevelType w:val="multilevel"/>
    <w:tmpl w:val="DF2E87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598161C"/>
    <w:multiLevelType w:val="multilevel"/>
    <w:tmpl w:val="BE9850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E61A8D"/>
    <w:rsid w:val="00E61A8D"/>
    <w:rsid w:val="00E6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spacing w:before="100" w:beforeAutospacing="1" w:after="100" w:afterAutospacing="1"/>
    </w:pPr>
  </w:style>
  <w:style w:type="character" w:customStyle="1" w:styleId="a4">
    <w:name w:val="כותרת עליונה תו"/>
    <w:basedOn w:val="a0"/>
    <w:link w:val="a3"/>
    <w:uiPriority w:val="99"/>
    <w:semiHidden/>
    <w:rPr>
      <w:rFonts w:eastAsiaTheme="minorEastAsia"/>
      <w:sz w:val="24"/>
      <w:szCs w:val="24"/>
    </w:rPr>
  </w:style>
  <w:style w:type="paragraph" w:styleId="a5">
    <w:name w:val="List Paragraph"/>
    <w:basedOn w:val="a"/>
    <w:uiPriority w:val="34"/>
    <w:qFormat/>
    <w:pPr>
      <w:spacing w:before="100" w:beforeAutospacing="1" w:after="100" w:afterAutospacing="1"/>
    </w:pPr>
  </w:style>
  <w:style w:type="character" w:styleId="a6">
    <w:name w:val="footnote reference"/>
    <w:basedOn w:val="a0"/>
    <w:uiPriority w:val="99"/>
    <w:semiHidden/>
    <w:unhideWhenUsed/>
  </w:style>
  <w:style w:type="paragraph" w:customStyle="1" w:styleId="headhatzaothok">
    <w:name w:val="headhatzaothok"/>
    <w:basedOn w:val="a"/>
    <w:pPr>
      <w:spacing w:before="100" w:beforeAutospacing="1" w:after="100" w:afterAutospacing="1"/>
    </w:pPr>
  </w:style>
  <w:style w:type="paragraph" w:customStyle="1" w:styleId="tablesideheading">
    <w:name w:val="tablesideheading"/>
    <w:basedOn w:val="a"/>
    <w:pPr>
      <w:spacing w:before="100" w:beforeAutospacing="1" w:after="100" w:afterAutospacing="1"/>
    </w:pPr>
  </w:style>
  <w:style w:type="paragraph" w:customStyle="1" w:styleId="tabletext">
    <w:name w:val="tabletext"/>
    <w:basedOn w:val="a"/>
    <w:pPr>
      <w:spacing w:before="100" w:beforeAutospacing="1" w:after="100" w:afterAutospacing="1"/>
    </w:pPr>
  </w:style>
  <w:style w:type="paragraph" w:customStyle="1" w:styleId="tableblock">
    <w:name w:val="tableblock"/>
    <w:basedOn w:val="a"/>
    <w:pPr>
      <w:spacing w:before="100" w:beforeAutospacing="1" w:after="100" w:afterAutospacing="1"/>
    </w:pPr>
  </w:style>
  <w:style w:type="paragraph" w:styleId="a7">
    <w:name w:val="footnote text"/>
    <w:basedOn w:val="a"/>
    <w:link w:val="a8"/>
    <w:uiPriority w:val="99"/>
    <w:semiHidden/>
    <w:unhideWhenUsed/>
    <w:pPr>
      <w:spacing w:before="100" w:beforeAutospacing="1" w:after="100" w:afterAutospacing="1"/>
    </w:pPr>
  </w:style>
  <w:style w:type="character" w:customStyle="1" w:styleId="a8">
    <w:name w:val="טקסט הערת שוליים תו"/>
    <w:basedOn w:val="a0"/>
    <w:link w:val="a7"/>
    <w:uiPriority w:val="99"/>
    <w:semiHidden/>
    <w:rPr>
      <w:rFonts w:eastAsiaTheme="minorEastAsia"/>
    </w:rPr>
  </w:style>
  <w:style w:type="paragraph" w:styleId="a9">
    <w:name w:val="footer"/>
    <w:basedOn w:val="a"/>
    <w:link w:val="aa"/>
    <w:uiPriority w:val="99"/>
    <w:semiHidden/>
    <w:unhideWhenUsed/>
    <w:pPr>
      <w:spacing w:before="100" w:beforeAutospacing="1" w:after="100" w:afterAutospacing="1"/>
    </w:pPr>
  </w:style>
  <w:style w:type="character" w:customStyle="1" w:styleId="aa">
    <w:name w:val="כותרת תחתונה תו"/>
    <w:basedOn w:val="a0"/>
    <w:link w:val="a9"/>
    <w:uiPriority w:val="99"/>
    <w:semiHidden/>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spacing w:before="100" w:beforeAutospacing="1" w:after="100" w:afterAutospacing="1"/>
    </w:pPr>
  </w:style>
  <w:style w:type="character" w:customStyle="1" w:styleId="a4">
    <w:name w:val="כותרת עליונה תו"/>
    <w:basedOn w:val="a0"/>
    <w:link w:val="a3"/>
    <w:uiPriority w:val="99"/>
    <w:semiHidden/>
    <w:rPr>
      <w:rFonts w:eastAsiaTheme="minorEastAsia"/>
      <w:sz w:val="24"/>
      <w:szCs w:val="24"/>
    </w:rPr>
  </w:style>
  <w:style w:type="paragraph" w:styleId="a5">
    <w:name w:val="List Paragraph"/>
    <w:basedOn w:val="a"/>
    <w:uiPriority w:val="34"/>
    <w:qFormat/>
    <w:pPr>
      <w:spacing w:before="100" w:beforeAutospacing="1" w:after="100" w:afterAutospacing="1"/>
    </w:pPr>
  </w:style>
  <w:style w:type="character" w:styleId="a6">
    <w:name w:val="footnote reference"/>
    <w:basedOn w:val="a0"/>
    <w:uiPriority w:val="99"/>
    <w:semiHidden/>
    <w:unhideWhenUsed/>
  </w:style>
  <w:style w:type="paragraph" w:customStyle="1" w:styleId="headhatzaothok">
    <w:name w:val="headhatzaothok"/>
    <w:basedOn w:val="a"/>
    <w:pPr>
      <w:spacing w:before="100" w:beforeAutospacing="1" w:after="100" w:afterAutospacing="1"/>
    </w:pPr>
  </w:style>
  <w:style w:type="paragraph" w:customStyle="1" w:styleId="tablesideheading">
    <w:name w:val="tablesideheading"/>
    <w:basedOn w:val="a"/>
    <w:pPr>
      <w:spacing w:before="100" w:beforeAutospacing="1" w:after="100" w:afterAutospacing="1"/>
    </w:pPr>
  </w:style>
  <w:style w:type="paragraph" w:customStyle="1" w:styleId="tabletext">
    <w:name w:val="tabletext"/>
    <w:basedOn w:val="a"/>
    <w:pPr>
      <w:spacing w:before="100" w:beforeAutospacing="1" w:after="100" w:afterAutospacing="1"/>
    </w:pPr>
  </w:style>
  <w:style w:type="paragraph" w:customStyle="1" w:styleId="tableblock">
    <w:name w:val="tableblock"/>
    <w:basedOn w:val="a"/>
    <w:pPr>
      <w:spacing w:before="100" w:beforeAutospacing="1" w:after="100" w:afterAutospacing="1"/>
    </w:pPr>
  </w:style>
  <w:style w:type="paragraph" w:styleId="a7">
    <w:name w:val="footnote text"/>
    <w:basedOn w:val="a"/>
    <w:link w:val="a8"/>
    <w:uiPriority w:val="99"/>
    <w:semiHidden/>
    <w:unhideWhenUsed/>
    <w:pPr>
      <w:spacing w:before="100" w:beforeAutospacing="1" w:after="100" w:afterAutospacing="1"/>
    </w:pPr>
  </w:style>
  <w:style w:type="character" w:customStyle="1" w:styleId="a8">
    <w:name w:val="טקסט הערת שוליים תו"/>
    <w:basedOn w:val="a0"/>
    <w:link w:val="a7"/>
    <w:uiPriority w:val="99"/>
    <w:semiHidden/>
    <w:rPr>
      <w:rFonts w:eastAsiaTheme="minorEastAsia"/>
    </w:rPr>
  </w:style>
  <w:style w:type="paragraph" w:styleId="a9">
    <w:name w:val="footer"/>
    <w:basedOn w:val="a"/>
    <w:link w:val="aa"/>
    <w:uiPriority w:val="99"/>
    <w:semiHidden/>
    <w:unhideWhenUsed/>
    <w:pPr>
      <w:spacing w:before="100" w:beforeAutospacing="1" w:after="100" w:afterAutospacing="1"/>
    </w:pPr>
  </w:style>
  <w:style w:type="character" w:customStyle="1" w:styleId="aa">
    <w:name w:val="כותרת תחתונה תו"/>
    <w:basedOn w:val="a0"/>
    <w:link w:val="a9"/>
    <w:uiPriority w:val="99"/>
    <w:semiHidden/>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4982">
      <w:marLeft w:val="0"/>
      <w:marRight w:val="0"/>
      <w:marTop w:val="0"/>
      <w:marBottom w:val="0"/>
      <w:divBdr>
        <w:top w:val="none" w:sz="0" w:space="0" w:color="auto"/>
        <w:left w:val="none" w:sz="0" w:space="0" w:color="auto"/>
        <w:bottom w:val="none" w:sz="0" w:space="0" w:color="auto"/>
        <w:right w:val="none" w:sz="0" w:space="0" w:color="auto"/>
      </w:divBdr>
    </w:div>
    <w:div w:id="1517305002">
      <w:marLeft w:val="0"/>
      <w:marRight w:val="0"/>
      <w:marTop w:val="0"/>
      <w:marBottom w:val="0"/>
      <w:divBdr>
        <w:top w:val="none" w:sz="0" w:space="0" w:color="auto"/>
        <w:left w:val="none" w:sz="0" w:space="0" w:color="auto"/>
        <w:bottom w:val="none" w:sz="0" w:space="0" w:color="auto"/>
        <w:right w:val="none" w:sz="0" w:space="0" w:color="auto"/>
      </w:divBdr>
    </w:div>
    <w:div w:id="185390711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4199</Characters>
  <Application>Microsoft Office Word</Application>
  <DocSecurity>0</DocSecurity>
  <Lines>34</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2015-05-31T14:57:00Z</dcterms:created>
</cp:coreProperties>
</file>