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11" w:rsidRDefault="00DD7C11" w:rsidP="00DD7C11">
      <w:pPr>
        <w:pStyle w:val="ac"/>
        <w:jc w:val="left"/>
        <w:rPr>
          <w:rFonts w:cs="David" w:hint="cs"/>
          <w:b w:val="0"/>
          <w:bCs w:val="0"/>
          <w:sz w:val="24"/>
          <w:szCs w:val="24"/>
          <w:u w:val="none"/>
          <w:rtl/>
        </w:rPr>
      </w:pPr>
    </w:p>
    <w:p w:rsidR="00DD7C11" w:rsidRDefault="00DD7C11" w:rsidP="00DD7C11">
      <w:pPr>
        <w:pStyle w:val="ac"/>
        <w:bidi w:val="0"/>
        <w:rPr>
          <w:rFonts w:cs="David"/>
          <w:b w:val="0"/>
          <w:bCs w:val="0"/>
          <w:sz w:val="26"/>
          <w:szCs w:val="26"/>
          <w:u w:val="none"/>
          <w:rtl/>
        </w:rPr>
      </w:pPr>
      <w:r>
        <w:rPr>
          <w:rFonts w:cs="David"/>
          <w:u w:val="none"/>
          <w:rtl/>
        </w:rPr>
        <w:t>הכנסת השבע-עשרה</w:t>
      </w:r>
    </w:p>
    <w:p w:rsidR="00DD7C11" w:rsidRDefault="00DD7C11" w:rsidP="00DD7C11">
      <w:pPr>
        <w:rPr>
          <w:rFonts w:cs="David"/>
          <w:sz w:val="26"/>
          <w:szCs w:val="26"/>
          <w:rtl/>
        </w:rPr>
      </w:pPr>
    </w:p>
    <w:p w:rsidR="00DD7C11" w:rsidRDefault="00DD7C11" w:rsidP="00DD7C11">
      <w:pPr>
        <w:rPr>
          <w:rFonts w:cs="David"/>
          <w:sz w:val="26"/>
          <w:szCs w:val="26"/>
          <w:rtl/>
        </w:rPr>
      </w:pPr>
    </w:p>
    <w:tbl>
      <w:tblPr>
        <w:bidiVisual/>
        <w:tblW w:w="0" w:type="auto"/>
        <w:tblInd w:w="5106" w:type="dxa"/>
        <w:tblBorders>
          <w:bottom w:val="single" w:sz="4" w:space="0" w:color="auto"/>
        </w:tblBorders>
        <w:tblLook w:val="0000"/>
      </w:tblPr>
      <w:tblGrid>
        <w:gridCol w:w="4073"/>
      </w:tblGrid>
      <w:tr w:rsidR="00DD7C11" w:rsidTr="00E86C0C">
        <w:tblPrEx>
          <w:tblCellMar>
            <w:top w:w="0" w:type="dxa"/>
            <w:bottom w:w="0" w:type="dxa"/>
          </w:tblCellMar>
        </w:tblPrEx>
        <w:trPr>
          <w:trHeight w:val="224"/>
        </w:trPr>
        <w:tc>
          <w:tcPr>
            <w:tcW w:w="4073" w:type="dxa"/>
            <w:tcBorders>
              <w:top w:val="nil"/>
              <w:left w:val="nil"/>
              <w:bottom w:val="single" w:sz="4" w:space="0" w:color="auto"/>
              <w:right w:val="nil"/>
            </w:tcBorders>
          </w:tcPr>
          <w:p w:rsidR="00DD7C11" w:rsidRDefault="00DD7C11" w:rsidP="00E86C0C">
            <w:pPr>
              <w:spacing w:after="120"/>
              <w:rPr>
                <w:rFonts w:cs="David"/>
                <w:sz w:val="26"/>
                <w:szCs w:val="26"/>
              </w:rPr>
            </w:pPr>
            <w:r>
              <w:rPr>
                <w:rFonts w:cs="David"/>
                <w:sz w:val="26"/>
                <w:szCs w:val="26"/>
                <w:rtl/>
              </w:rPr>
              <w:t xml:space="preserve">הצעת חוק של חברת הכנסת </w:t>
            </w:r>
            <w:r>
              <w:rPr>
                <w:rFonts w:cs="David"/>
                <w:b/>
                <w:bCs/>
                <w:sz w:val="26"/>
                <w:szCs w:val="26"/>
                <w:rtl/>
              </w:rPr>
              <w:t>זהבה גלאון</w:t>
            </w:r>
          </w:p>
        </w:tc>
      </w:tr>
    </w:tbl>
    <w:p w:rsidR="00DD7C11" w:rsidRDefault="00DD7C11" w:rsidP="00DD7C11">
      <w:pPr>
        <w:ind w:left="6866"/>
        <w:rPr>
          <w:rFonts w:cs="David"/>
          <w:b/>
          <w:bCs/>
          <w:sz w:val="26"/>
          <w:szCs w:val="26"/>
          <w:rtl/>
        </w:rPr>
      </w:pPr>
      <w:r>
        <w:rPr>
          <w:rFonts w:cs="David"/>
          <w:b/>
          <w:bCs/>
          <w:sz w:val="26"/>
          <w:szCs w:val="26"/>
          <w:rtl/>
        </w:rPr>
        <w:t>פ/15</w:t>
      </w:r>
    </w:p>
    <w:p w:rsidR="00DD7C11" w:rsidRDefault="00DD7C11" w:rsidP="00DD7C11">
      <w:pPr>
        <w:rPr>
          <w:rFonts w:cs="David"/>
          <w:sz w:val="26"/>
          <w:szCs w:val="26"/>
          <w:rtl/>
        </w:rPr>
      </w:pPr>
    </w:p>
    <w:p w:rsidR="00DD7C11" w:rsidRDefault="00DD7C11" w:rsidP="00DD7C11">
      <w:pPr>
        <w:rPr>
          <w:rFonts w:cs="David"/>
          <w:sz w:val="26"/>
          <w:szCs w:val="26"/>
          <w:rtl/>
        </w:rPr>
      </w:pPr>
    </w:p>
    <w:p w:rsidR="00DD7C11" w:rsidRDefault="00DD7C11" w:rsidP="00DD7C11">
      <w:pPr>
        <w:pStyle w:val="1"/>
        <w:rPr>
          <w:rtl/>
        </w:rPr>
      </w:pPr>
      <w:r>
        <w:rPr>
          <w:rtl/>
        </w:rPr>
        <w:t xml:space="preserve">הצעת חוק לתיקון פקודת העיתונות (כשירות עורך עיתון ומינוי נאמן), </w:t>
      </w:r>
    </w:p>
    <w:p w:rsidR="00DD7C11" w:rsidRDefault="00DD7C11" w:rsidP="00DD7C11">
      <w:pPr>
        <w:pStyle w:val="1"/>
        <w:rPr>
          <w:b w:val="0"/>
          <w:bCs w:val="0"/>
          <w:sz w:val="26"/>
          <w:szCs w:val="26"/>
          <w:rtl/>
        </w:rPr>
      </w:pPr>
      <w:proofErr w:type="spellStart"/>
      <w:r>
        <w:rPr>
          <w:rtl/>
        </w:rPr>
        <w:t>התשס”ו</w:t>
      </w:r>
      <w:proofErr w:type="spellEnd"/>
      <w:r>
        <w:rPr>
          <w:rtl/>
        </w:rPr>
        <w:t>-2006</w:t>
      </w:r>
    </w:p>
    <w:p w:rsidR="00DD7C11" w:rsidRDefault="00DD7C11" w:rsidP="00DD7C11">
      <w:pPr>
        <w:rPr>
          <w:rFonts w:cs="David"/>
          <w:sz w:val="26"/>
          <w:szCs w:val="26"/>
          <w:rtl/>
        </w:rPr>
      </w:pPr>
    </w:p>
    <w:p w:rsidR="00DD7C11" w:rsidRDefault="00DD7C11" w:rsidP="00DD7C11">
      <w:pPr>
        <w:rPr>
          <w:rFonts w:cs="David"/>
          <w:sz w:val="26"/>
          <w:szCs w:val="26"/>
          <w:rtl/>
        </w:rPr>
      </w:pPr>
    </w:p>
    <w:p w:rsidR="00DD7C11" w:rsidRDefault="00DD7C11" w:rsidP="00DD7C11">
      <w:pPr>
        <w:rPr>
          <w:rFonts w:cs="David"/>
          <w:sz w:val="26"/>
          <w:szCs w:val="26"/>
          <w:rtl/>
        </w:rPr>
      </w:pPr>
    </w:p>
    <w:tbl>
      <w:tblPr>
        <w:bidiVisual/>
        <w:tblW w:w="0" w:type="auto"/>
        <w:tblCellMar>
          <w:left w:w="57" w:type="dxa"/>
          <w:right w:w="57" w:type="dxa"/>
        </w:tblCellMar>
        <w:tblLook w:val="0000"/>
      </w:tblPr>
      <w:tblGrid>
        <w:gridCol w:w="1168"/>
        <w:gridCol w:w="551"/>
        <w:gridCol w:w="1191"/>
        <w:gridCol w:w="567"/>
        <w:gridCol w:w="567"/>
        <w:gridCol w:w="4376"/>
      </w:tblGrid>
      <w:tr w:rsidR="00DD7C11" w:rsidTr="00E86C0C">
        <w:tblPrEx>
          <w:tblCellMar>
            <w:top w:w="0" w:type="dxa"/>
            <w:bottom w:w="0" w:type="dxa"/>
          </w:tblCellMar>
        </w:tblPrEx>
        <w:trPr>
          <w:cantSplit/>
        </w:trPr>
        <w:tc>
          <w:tcPr>
            <w:tcW w:w="1168" w:type="dxa"/>
            <w:vMerge w:val="restart"/>
            <w:tcBorders>
              <w:top w:val="nil"/>
              <w:left w:val="nil"/>
              <w:bottom w:val="nil"/>
              <w:right w:val="nil"/>
            </w:tcBorders>
          </w:tcPr>
          <w:p w:rsidR="00DD7C11" w:rsidRDefault="00DD7C11" w:rsidP="00E86C0C">
            <w:pPr>
              <w:spacing w:after="120"/>
              <w:rPr>
                <w:rFonts w:cs="David"/>
                <w:sz w:val="26"/>
                <w:szCs w:val="26"/>
              </w:rPr>
            </w:pPr>
            <w:r>
              <w:rPr>
                <w:rFonts w:cs="David"/>
                <w:sz w:val="26"/>
                <w:szCs w:val="26"/>
                <w:rtl/>
              </w:rPr>
              <w:t>הוספת סעיפים 5א ו– 5ב</w:t>
            </w:r>
          </w:p>
        </w:tc>
        <w:tc>
          <w:tcPr>
            <w:tcW w:w="551" w:type="dxa"/>
            <w:tcBorders>
              <w:top w:val="nil"/>
              <w:left w:val="nil"/>
              <w:bottom w:val="nil"/>
              <w:right w:val="nil"/>
            </w:tcBorders>
          </w:tcPr>
          <w:p w:rsidR="00DD7C11" w:rsidRDefault="00DD7C11" w:rsidP="00E86C0C">
            <w:pPr>
              <w:spacing w:after="120"/>
              <w:rPr>
                <w:rFonts w:cs="David"/>
                <w:sz w:val="26"/>
                <w:szCs w:val="26"/>
              </w:rPr>
            </w:pPr>
            <w:r>
              <w:rPr>
                <w:rFonts w:cs="David"/>
                <w:sz w:val="26"/>
                <w:szCs w:val="26"/>
                <w:rtl/>
              </w:rPr>
              <w:t>1.</w:t>
            </w:r>
          </w:p>
        </w:tc>
        <w:tc>
          <w:tcPr>
            <w:tcW w:w="6701" w:type="dxa"/>
            <w:gridSpan w:val="4"/>
            <w:tcBorders>
              <w:top w:val="nil"/>
              <w:left w:val="nil"/>
              <w:bottom w:val="nil"/>
              <w:right w:val="nil"/>
            </w:tcBorders>
          </w:tcPr>
          <w:p w:rsidR="00DD7C11" w:rsidRDefault="00DD7C11" w:rsidP="00E86C0C">
            <w:pPr>
              <w:rPr>
                <w:rFonts w:cs="David"/>
                <w:sz w:val="26"/>
                <w:szCs w:val="26"/>
              </w:rPr>
            </w:pPr>
            <w:r>
              <w:rPr>
                <w:rFonts w:cs="David"/>
                <w:sz w:val="26"/>
                <w:szCs w:val="26"/>
                <w:rtl/>
              </w:rPr>
              <w:t>בפקודת העיתונות</w:t>
            </w:r>
            <w:r>
              <w:rPr>
                <w:rStyle w:val="a5"/>
                <w:rFonts w:cs="David"/>
                <w:sz w:val="26"/>
                <w:szCs w:val="26"/>
                <w:rtl/>
              </w:rPr>
              <w:footnoteReference w:id="1"/>
            </w:r>
            <w:r>
              <w:rPr>
                <w:rFonts w:cs="David"/>
                <w:sz w:val="26"/>
                <w:szCs w:val="26"/>
                <w:rtl/>
              </w:rPr>
              <w:t>, אחרי סעיף 5 יבוא:</w:t>
            </w:r>
          </w:p>
        </w:tc>
      </w:tr>
      <w:tr w:rsidR="00DD7C11" w:rsidTr="00E86C0C">
        <w:tblPrEx>
          <w:tblCellMar>
            <w:top w:w="0" w:type="dxa"/>
            <w:bottom w:w="0" w:type="dxa"/>
          </w:tblCellMar>
        </w:tblPrEx>
        <w:trPr>
          <w:cantSplit/>
          <w:trHeight w:val="792"/>
        </w:trPr>
        <w:tc>
          <w:tcPr>
            <w:tcW w:w="1168" w:type="dxa"/>
            <w:vMerge/>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vMerge w:val="restart"/>
            <w:tcBorders>
              <w:top w:val="nil"/>
              <w:left w:val="nil"/>
              <w:bottom w:val="nil"/>
              <w:right w:val="nil"/>
            </w:tcBorders>
          </w:tcPr>
          <w:p w:rsidR="00DD7C11" w:rsidRDefault="00DD7C11" w:rsidP="00E86C0C">
            <w:pPr>
              <w:rPr>
                <w:rFonts w:cs="David"/>
                <w:sz w:val="26"/>
                <w:szCs w:val="26"/>
              </w:rPr>
            </w:pPr>
            <w:r>
              <w:rPr>
                <w:rFonts w:cs="David"/>
                <w:sz w:val="26"/>
                <w:szCs w:val="26"/>
                <w:rtl/>
              </w:rPr>
              <w:t>"עורך שהורשע בעבירה פלילית</w:t>
            </w: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5א.</w:t>
            </w:r>
          </w:p>
        </w:tc>
        <w:tc>
          <w:tcPr>
            <w:tcW w:w="4943" w:type="dxa"/>
            <w:gridSpan w:val="2"/>
            <w:tcBorders>
              <w:top w:val="nil"/>
              <w:left w:val="nil"/>
              <w:bottom w:val="nil"/>
              <w:right w:val="nil"/>
            </w:tcBorders>
          </w:tcPr>
          <w:p w:rsidR="00DD7C11" w:rsidRDefault="00DD7C11" w:rsidP="00E86C0C">
            <w:pPr>
              <w:rPr>
                <w:rFonts w:cs="David"/>
                <w:sz w:val="26"/>
                <w:szCs w:val="26"/>
              </w:rPr>
            </w:pPr>
            <w:r>
              <w:rPr>
                <w:rFonts w:cs="David"/>
                <w:sz w:val="26"/>
                <w:szCs w:val="26"/>
                <w:rtl/>
              </w:rPr>
              <w:t xml:space="preserve">לא ימונה אדם לעורך </w:t>
            </w:r>
            <w:proofErr w:type="spellStart"/>
            <w:r>
              <w:rPr>
                <w:rFonts w:cs="David"/>
                <w:sz w:val="26"/>
                <w:szCs w:val="26"/>
                <w:rtl/>
              </w:rPr>
              <w:t>עתון</w:t>
            </w:r>
            <w:proofErr w:type="spellEnd"/>
            <w:r>
              <w:rPr>
                <w:rFonts w:cs="David"/>
                <w:sz w:val="26"/>
                <w:szCs w:val="26"/>
                <w:rtl/>
              </w:rPr>
              <w:t>, ובאם משמש בתפקיד זה יועבר ממנו, אם התקיים בו אחד מאלה:</w:t>
            </w:r>
          </w:p>
        </w:tc>
      </w:tr>
      <w:tr w:rsidR="00DD7C11" w:rsidTr="00E86C0C">
        <w:tblPrEx>
          <w:tblCellMar>
            <w:top w:w="0" w:type="dxa"/>
            <w:bottom w:w="0" w:type="dxa"/>
          </w:tblCellMar>
        </w:tblPrEx>
        <w:trPr>
          <w:cantSplit/>
        </w:trPr>
        <w:tc>
          <w:tcPr>
            <w:tcW w:w="1168" w:type="dxa"/>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vMerge/>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(1)</w:t>
            </w:r>
          </w:p>
        </w:tc>
        <w:tc>
          <w:tcPr>
            <w:tcW w:w="4376" w:type="dxa"/>
            <w:tcBorders>
              <w:top w:val="nil"/>
              <w:left w:val="nil"/>
              <w:bottom w:val="nil"/>
              <w:right w:val="nil"/>
            </w:tcBorders>
          </w:tcPr>
          <w:p w:rsidR="00DD7C11" w:rsidRDefault="00DD7C11" w:rsidP="00E86C0C">
            <w:pPr>
              <w:rPr>
                <w:rFonts w:cs="David"/>
                <w:sz w:val="26"/>
                <w:szCs w:val="26"/>
              </w:rPr>
            </w:pPr>
            <w:r>
              <w:rPr>
                <w:rFonts w:cs="David"/>
                <w:sz w:val="26"/>
                <w:szCs w:val="26"/>
                <w:rtl/>
              </w:rPr>
              <w:t>בעת היותו עורך של עיתון, הורשע בפסק דין סופי בעבירה שמפאת מהותה, חומרתה או נסיבותיה אין הוא ראוי לשמש בתפקיד האמור;</w:t>
            </w:r>
          </w:p>
          <w:p w:rsidR="00DD7C11" w:rsidRDefault="00DD7C11" w:rsidP="00E86C0C">
            <w:pPr>
              <w:rPr>
                <w:rFonts w:cs="David"/>
                <w:sz w:val="26"/>
                <w:szCs w:val="26"/>
              </w:rPr>
            </w:pPr>
          </w:p>
        </w:tc>
      </w:tr>
      <w:tr w:rsidR="00DD7C11" w:rsidTr="00E86C0C">
        <w:tblPrEx>
          <w:tblCellMar>
            <w:top w:w="0" w:type="dxa"/>
            <w:bottom w:w="0" w:type="dxa"/>
          </w:tblCellMar>
        </w:tblPrEx>
        <w:trPr>
          <w:cantSplit/>
        </w:trPr>
        <w:tc>
          <w:tcPr>
            <w:tcW w:w="1168" w:type="dxa"/>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(2)</w:t>
            </w:r>
          </w:p>
        </w:tc>
        <w:tc>
          <w:tcPr>
            <w:tcW w:w="4376" w:type="dxa"/>
            <w:tcBorders>
              <w:top w:val="nil"/>
              <w:left w:val="nil"/>
              <w:bottom w:val="nil"/>
              <w:right w:val="nil"/>
            </w:tcBorders>
          </w:tcPr>
          <w:p w:rsidR="00DD7C11" w:rsidRDefault="00DD7C11" w:rsidP="00E86C0C">
            <w:pPr>
              <w:rPr>
                <w:rFonts w:cs="David"/>
                <w:sz w:val="26"/>
                <w:szCs w:val="26"/>
              </w:rPr>
            </w:pPr>
            <w:r>
              <w:rPr>
                <w:rFonts w:cs="David"/>
                <w:sz w:val="26"/>
                <w:szCs w:val="26"/>
                <w:rtl/>
              </w:rPr>
              <w:t>הורשע, קודם להיותו עורך של עיתון, בפסק דין סופי בעבירה פלילית, ובית משפט מחוזי, בהרכב של שלושה שופטים, קבע כי מפאת מהותה, חומרתה או נסיבותיה של העבירה אין הוא ראוי לשמש בתפקיד האמור.</w:t>
            </w:r>
          </w:p>
          <w:p w:rsidR="00DD7C11" w:rsidRDefault="00DD7C11" w:rsidP="00E86C0C">
            <w:pPr>
              <w:rPr>
                <w:rFonts w:cs="David"/>
                <w:sz w:val="26"/>
                <w:szCs w:val="26"/>
              </w:rPr>
            </w:pPr>
          </w:p>
        </w:tc>
      </w:tr>
      <w:tr w:rsidR="00DD7C11" w:rsidTr="00E86C0C">
        <w:tblPrEx>
          <w:tblCellMar>
            <w:top w:w="0" w:type="dxa"/>
            <w:bottom w:w="0" w:type="dxa"/>
          </w:tblCellMar>
        </w:tblPrEx>
        <w:trPr>
          <w:cantSplit/>
        </w:trPr>
        <w:tc>
          <w:tcPr>
            <w:tcW w:w="1168" w:type="dxa"/>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tcBorders>
              <w:top w:val="nil"/>
              <w:left w:val="nil"/>
              <w:bottom w:val="nil"/>
              <w:right w:val="nil"/>
            </w:tcBorders>
          </w:tcPr>
          <w:p w:rsidR="00DD7C11" w:rsidRDefault="00DD7C11" w:rsidP="00E86C0C">
            <w:pPr>
              <w:rPr>
                <w:rFonts w:cs="David"/>
                <w:sz w:val="26"/>
                <w:szCs w:val="26"/>
              </w:rPr>
            </w:pPr>
            <w:r>
              <w:rPr>
                <w:rFonts w:cs="David"/>
                <w:sz w:val="26"/>
                <w:szCs w:val="26"/>
                <w:rtl/>
              </w:rPr>
              <w:t>מינוי נאמן לעיתון</w:t>
            </w: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5ב.</w:t>
            </w:r>
          </w:p>
        </w:tc>
        <w:tc>
          <w:tcPr>
            <w:tcW w:w="4943" w:type="dxa"/>
            <w:gridSpan w:val="2"/>
            <w:tcBorders>
              <w:top w:val="nil"/>
              <w:left w:val="nil"/>
              <w:bottom w:val="nil"/>
              <w:right w:val="nil"/>
            </w:tcBorders>
          </w:tcPr>
          <w:p w:rsidR="00DD7C11" w:rsidRDefault="00DD7C11" w:rsidP="00E86C0C">
            <w:pPr>
              <w:rPr>
                <w:rFonts w:cs="David"/>
                <w:sz w:val="26"/>
                <w:szCs w:val="26"/>
              </w:rPr>
            </w:pPr>
            <w:r>
              <w:rPr>
                <w:rFonts w:cs="David"/>
                <w:sz w:val="26"/>
                <w:szCs w:val="26"/>
                <w:rtl/>
              </w:rPr>
              <w:t>בעל רישיון או המבקש לקבל רישיון, שהתקיימו בו אחד מאלה, ימנה לו בית המשפט נאמן, אשר ישמש בתפקידו בפיקוח בית המשפט ויחזיק בכל סמכויות הניהול והשליטה של העיתון, לרבות מינוי עורך וחברי דירקטוריון ולמעט קבלת רווחים, וזאת עד לאחר זיכויו של בעל הרישיון מן העבירה או עד להחלטת בית המשפט שהרשיעו כי לא חלה עליו מגבלה להפעיל בעצמו את הסמכויות האמורות:</w:t>
            </w:r>
          </w:p>
          <w:p w:rsidR="00DD7C11" w:rsidRDefault="00DD7C11" w:rsidP="00E86C0C">
            <w:pPr>
              <w:rPr>
                <w:rFonts w:cs="David"/>
                <w:sz w:val="26"/>
                <w:szCs w:val="26"/>
              </w:rPr>
            </w:pPr>
          </w:p>
        </w:tc>
      </w:tr>
      <w:tr w:rsidR="00DD7C11" w:rsidTr="00E86C0C">
        <w:tblPrEx>
          <w:tblCellMar>
            <w:top w:w="0" w:type="dxa"/>
            <w:bottom w:w="0" w:type="dxa"/>
          </w:tblCellMar>
        </w:tblPrEx>
        <w:trPr>
          <w:cantSplit/>
        </w:trPr>
        <w:tc>
          <w:tcPr>
            <w:tcW w:w="1168" w:type="dxa"/>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(1)</w:t>
            </w:r>
          </w:p>
        </w:tc>
        <w:tc>
          <w:tcPr>
            <w:tcW w:w="4376" w:type="dxa"/>
            <w:tcBorders>
              <w:top w:val="nil"/>
              <w:left w:val="nil"/>
              <w:bottom w:val="nil"/>
              <w:right w:val="nil"/>
            </w:tcBorders>
          </w:tcPr>
          <w:p w:rsidR="00DD7C11" w:rsidRDefault="00DD7C11" w:rsidP="00E86C0C">
            <w:pPr>
              <w:rPr>
                <w:rFonts w:cs="David"/>
                <w:sz w:val="26"/>
                <w:szCs w:val="26"/>
              </w:rPr>
            </w:pPr>
            <w:r>
              <w:rPr>
                <w:rFonts w:cs="David"/>
                <w:sz w:val="26"/>
                <w:szCs w:val="26"/>
                <w:rtl/>
              </w:rPr>
              <w:t>הוגש נגדו כתב אישום בעבירה שבית המשפט קבע כי מפאת מהותה, חומרתה או נסיבותיה אין הוא ראוי לשמש בתפקיד האמור;</w:t>
            </w:r>
          </w:p>
          <w:p w:rsidR="00DD7C11" w:rsidRDefault="00DD7C11" w:rsidP="00E86C0C">
            <w:pPr>
              <w:rPr>
                <w:rFonts w:cs="David"/>
                <w:sz w:val="26"/>
                <w:szCs w:val="26"/>
              </w:rPr>
            </w:pPr>
          </w:p>
        </w:tc>
      </w:tr>
      <w:tr w:rsidR="00DD7C11" w:rsidTr="00E86C0C">
        <w:tblPrEx>
          <w:tblCellMar>
            <w:top w:w="0" w:type="dxa"/>
            <w:bottom w:w="0" w:type="dxa"/>
          </w:tblCellMar>
        </w:tblPrEx>
        <w:trPr>
          <w:cantSplit/>
        </w:trPr>
        <w:tc>
          <w:tcPr>
            <w:tcW w:w="1168" w:type="dxa"/>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(2)</w:t>
            </w:r>
          </w:p>
        </w:tc>
        <w:tc>
          <w:tcPr>
            <w:tcW w:w="4376" w:type="dxa"/>
            <w:tcBorders>
              <w:top w:val="nil"/>
              <w:left w:val="nil"/>
              <w:bottom w:val="nil"/>
              <w:right w:val="nil"/>
            </w:tcBorders>
          </w:tcPr>
          <w:p w:rsidR="00DD7C11" w:rsidRDefault="00DD7C11" w:rsidP="00E86C0C">
            <w:pPr>
              <w:rPr>
                <w:rFonts w:cs="David"/>
                <w:sz w:val="26"/>
                <w:szCs w:val="26"/>
              </w:rPr>
            </w:pPr>
            <w:r>
              <w:rPr>
                <w:rFonts w:cs="David"/>
                <w:sz w:val="26"/>
                <w:szCs w:val="26"/>
                <w:rtl/>
              </w:rPr>
              <w:t>בעת היותו בעל רישיון, הורשע בפסק דין סופי בעבירה שמפאת מהותה, חומרתה או נסיבותיה אין הוא ראוי לשמש בתפקיד האמור;</w:t>
            </w:r>
          </w:p>
          <w:p w:rsidR="00DD7C11" w:rsidRDefault="00DD7C11" w:rsidP="00E86C0C">
            <w:pPr>
              <w:rPr>
                <w:rFonts w:cs="David"/>
                <w:sz w:val="26"/>
                <w:szCs w:val="26"/>
              </w:rPr>
            </w:pPr>
          </w:p>
        </w:tc>
      </w:tr>
      <w:tr w:rsidR="00DD7C11" w:rsidTr="00E86C0C">
        <w:tblPrEx>
          <w:tblCellMar>
            <w:top w:w="0" w:type="dxa"/>
            <w:bottom w:w="0" w:type="dxa"/>
          </w:tblCellMar>
        </w:tblPrEx>
        <w:trPr>
          <w:cantSplit/>
        </w:trPr>
        <w:tc>
          <w:tcPr>
            <w:tcW w:w="1168" w:type="dxa"/>
            <w:tcBorders>
              <w:top w:val="nil"/>
              <w:left w:val="nil"/>
              <w:bottom w:val="nil"/>
              <w:right w:val="nil"/>
            </w:tcBorders>
          </w:tcPr>
          <w:p w:rsidR="00DD7C11" w:rsidRDefault="00DD7C11" w:rsidP="00E86C0C">
            <w:pPr>
              <w:spacing w:after="120"/>
              <w:rPr>
                <w:rFonts w:cs="David"/>
                <w:sz w:val="26"/>
                <w:szCs w:val="26"/>
              </w:rPr>
            </w:pPr>
          </w:p>
        </w:tc>
        <w:tc>
          <w:tcPr>
            <w:tcW w:w="551" w:type="dxa"/>
            <w:tcBorders>
              <w:top w:val="nil"/>
              <w:left w:val="nil"/>
              <w:bottom w:val="nil"/>
              <w:right w:val="nil"/>
            </w:tcBorders>
          </w:tcPr>
          <w:p w:rsidR="00DD7C11" w:rsidRDefault="00DD7C11" w:rsidP="00E86C0C">
            <w:pPr>
              <w:spacing w:after="120"/>
              <w:rPr>
                <w:rFonts w:cs="David"/>
                <w:sz w:val="26"/>
                <w:szCs w:val="26"/>
              </w:rPr>
            </w:pPr>
          </w:p>
        </w:tc>
        <w:tc>
          <w:tcPr>
            <w:tcW w:w="1191"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p>
        </w:tc>
        <w:tc>
          <w:tcPr>
            <w:tcW w:w="567" w:type="dxa"/>
            <w:tcBorders>
              <w:top w:val="nil"/>
              <w:left w:val="nil"/>
              <w:bottom w:val="nil"/>
              <w:right w:val="nil"/>
            </w:tcBorders>
          </w:tcPr>
          <w:p w:rsidR="00DD7C11" w:rsidRDefault="00DD7C11" w:rsidP="00E86C0C">
            <w:pPr>
              <w:rPr>
                <w:rFonts w:cs="David"/>
                <w:sz w:val="26"/>
                <w:szCs w:val="26"/>
              </w:rPr>
            </w:pPr>
            <w:r>
              <w:rPr>
                <w:rFonts w:cs="David"/>
                <w:sz w:val="26"/>
                <w:szCs w:val="26"/>
                <w:rtl/>
              </w:rPr>
              <w:t>(3)</w:t>
            </w:r>
          </w:p>
        </w:tc>
        <w:tc>
          <w:tcPr>
            <w:tcW w:w="4376" w:type="dxa"/>
            <w:tcBorders>
              <w:top w:val="nil"/>
              <w:left w:val="nil"/>
              <w:bottom w:val="nil"/>
              <w:right w:val="nil"/>
            </w:tcBorders>
          </w:tcPr>
          <w:p w:rsidR="00DD7C11" w:rsidRDefault="00DD7C11" w:rsidP="00E86C0C">
            <w:pPr>
              <w:rPr>
                <w:rFonts w:cs="David"/>
                <w:sz w:val="26"/>
                <w:szCs w:val="26"/>
              </w:rPr>
            </w:pPr>
            <w:r>
              <w:rPr>
                <w:rFonts w:cs="David"/>
                <w:sz w:val="26"/>
                <w:szCs w:val="26"/>
                <w:rtl/>
              </w:rPr>
              <w:t>הורשע, קודם להיותו בעל רישיון, בפסק דין סופי בעבירה פלילית, ובית משפט מחוזי, בהרכב של שלושה שופטים, קבע כי מפאת מהותה, חומרתה או נסיבותיה של העבירה אין הוא ראוי לשמש בתפקיד האמור."</w:t>
            </w:r>
          </w:p>
          <w:p w:rsidR="00DD7C11" w:rsidRDefault="00DD7C11" w:rsidP="00E86C0C">
            <w:pPr>
              <w:rPr>
                <w:rFonts w:cs="David"/>
                <w:sz w:val="26"/>
                <w:szCs w:val="26"/>
              </w:rPr>
            </w:pPr>
          </w:p>
        </w:tc>
      </w:tr>
    </w:tbl>
    <w:p w:rsidR="00DD7C11" w:rsidRDefault="00DD7C11" w:rsidP="00DD7C11">
      <w:pPr>
        <w:rPr>
          <w:rFonts w:cs="David"/>
          <w:sz w:val="26"/>
          <w:szCs w:val="26"/>
          <w:rtl/>
        </w:rPr>
      </w:pPr>
    </w:p>
    <w:p w:rsidR="00DD7C11" w:rsidRDefault="00DD7C11" w:rsidP="00DD7C11">
      <w:pPr>
        <w:rPr>
          <w:rFonts w:cs="David"/>
          <w:sz w:val="26"/>
          <w:szCs w:val="26"/>
          <w:rtl/>
        </w:rPr>
      </w:pPr>
    </w:p>
    <w:p w:rsidR="00DD7C11" w:rsidRDefault="00DD7C11" w:rsidP="00DD7C11">
      <w:pPr>
        <w:rPr>
          <w:rFonts w:cs="David"/>
          <w:sz w:val="26"/>
          <w:szCs w:val="26"/>
          <w:rtl/>
        </w:rPr>
      </w:pPr>
    </w:p>
    <w:p w:rsidR="00DD7C11" w:rsidRDefault="00DD7C11" w:rsidP="00DD7C11">
      <w:pPr>
        <w:jc w:val="center"/>
        <w:rPr>
          <w:rFonts w:cs="David"/>
          <w:sz w:val="28"/>
          <w:szCs w:val="28"/>
          <w:rtl/>
        </w:rPr>
      </w:pPr>
      <w:r>
        <w:rPr>
          <w:rFonts w:cs="David"/>
          <w:b/>
          <w:bCs/>
          <w:sz w:val="28"/>
          <w:szCs w:val="28"/>
          <w:u w:val="single"/>
          <w:rtl/>
        </w:rPr>
        <w:t>דברי - הסבר</w:t>
      </w:r>
    </w:p>
    <w:p w:rsidR="00DD7C11" w:rsidRDefault="00DD7C11" w:rsidP="00DD7C11">
      <w:pPr>
        <w:rPr>
          <w:rFonts w:cs="David"/>
          <w:sz w:val="26"/>
          <w:szCs w:val="26"/>
          <w:rtl/>
        </w:rPr>
      </w:pPr>
    </w:p>
    <w:p w:rsidR="00DD7C11" w:rsidRDefault="00DD7C11" w:rsidP="00DD7C11">
      <w:pPr>
        <w:pStyle w:val="ae"/>
        <w:spacing w:line="360" w:lineRule="auto"/>
        <w:rPr>
          <w:rFonts w:cs="David"/>
          <w:sz w:val="26"/>
          <w:szCs w:val="26"/>
          <w:rtl/>
        </w:rPr>
      </w:pPr>
      <w:r>
        <w:rPr>
          <w:rFonts w:cs="David"/>
          <w:sz w:val="26"/>
          <w:szCs w:val="26"/>
          <w:rtl/>
        </w:rPr>
        <w:t>לפי המצב החוקי הקיים היום, כפי שקבוע בפקודת העיתונות, יכול אדם שהורשע בעבירה פלילית, להיות בעלים של עיתון, ללא כל הגבלה. הסייג היחיד שמטילה הפקודה מתייחס לעורך עיתון, אשר לגביו נקבע איסור כהונה בגין הרשעה בעבירה  שנידון עליה למאסר של שלושה חודשים או יותר.</w:t>
      </w:r>
    </w:p>
    <w:p w:rsidR="00DD7C11" w:rsidRDefault="00DD7C11" w:rsidP="00DD7C11">
      <w:pPr>
        <w:spacing w:line="360" w:lineRule="auto"/>
        <w:rPr>
          <w:rFonts w:cs="David"/>
          <w:sz w:val="26"/>
          <w:szCs w:val="26"/>
          <w:rtl/>
        </w:rPr>
      </w:pPr>
    </w:p>
    <w:p w:rsidR="00DD7C11" w:rsidRDefault="00DD7C11" w:rsidP="00DD7C11">
      <w:pPr>
        <w:spacing w:line="360" w:lineRule="auto"/>
        <w:rPr>
          <w:rFonts w:cs="David"/>
          <w:sz w:val="26"/>
          <w:szCs w:val="26"/>
          <w:rtl/>
        </w:rPr>
      </w:pPr>
      <w:r>
        <w:rPr>
          <w:rFonts w:cs="David"/>
          <w:sz w:val="26"/>
          <w:szCs w:val="26"/>
          <w:rtl/>
        </w:rPr>
        <w:t xml:space="preserve">ועדת צדוק, אשר מונתה להסדיר בחקיקה מתקדמת את נושא העיתונות בכללותו, הקדישה שני פרקים בהמלצותיה לנושא כשירות בעלים ועורך של עיתון. הועדה המליצה כי לא יוכל להיות מוציא לאור של עיתון רב תפוצה או בעל שליטה בעיתון רב תפוצה, המפעיל את מלוא זכויותיו בעיתון, מי שהורשע בעבירה פלילית שיש עמה קלון, בין אם בהיותו נושא בתפקיד זה ובין אם קודם לכן. עוד קבעה ועדת צדוק כי ראוי לעגן בחוק את </w:t>
      </w:r>
      <w:proofErr w:type="spellStart"/>
      <w:r>
        <w:rPr>
          <w:rFonts w:cs="David"/>
          <w:sz w:val="26"/>
          <w:szCs w:val="26"/>
          <w:rtl/>
        </w:rPr>
        <w:t>העקרון</w:t>
      </w:r>
      <w:proofErr w:type="spellEnd"/>
      <w:r>
        <w:rPr>
          <w:rFonts w:cs="David"/>
          <w:sz w:val="26"/>
          <w:szCs w:val="26"/>
          <w:rtl/>
        </w:rPr>
        <w:t xml:space="preserve"> לפיו אדם שעבר עבירה שיש עמה קלון, מן הסוג הפוסל אותו </w:t>
      </w:r>
      <w:proofErr w:type="spellStart"/>
      <w:r>
        <w:rPr>
          <w:rFonts w:cs="David"/>
          <w:sz w:val="26"/>
          <w:szCs w:val="26"/>
          <w:rtl/>
        </w:rPr>
        <w:t>אותו</w:t>
      </w:r>
      <w:proofErr w:type="spellEnd"/>
      <w:r>
        <w:rPr>
          <w:rFonts w:cs="David"/>
          <w:sz w:val="26"/>
          <w:szCs w:val="26"/>
          <w:rtl/>
        </w:rPr>
        <w:t xml:space="preserve"> מלהיות עורך עיתון, איננו כשיר לבצע תפקיד זה.</w:t>
      </w:r>
    </w:p>
    <w:p w:rsidR="00DD7C11" w:rsidRDefault="00DD7C11" w:rsidP="00DD7C11">
      <w:pPr>
        <w:spacing w:line="360" w:lineRule="auto"/>
        <w:rPr>
          <w:rFonts w:cs="David"/>
          <w:sz w:val="26"/>
          <w:szCs w:val="26"/>
          <w:rtl/>
        </w:rPr>
      </w:pPr>
    </w:p>
    <w:p w:rsidR="00DD7C11" w:rsidRDefault="00DD7C11" w:rsidP="00DD7C11">
      <w:pPr>
        <w:pStyle w:val="ae"/>
        <w:spacing w:line="360" w:lineRule="auto"/>
        <w:rPr>
          <w:rFonts w:cs="David"/>
          <w:sz w:val="26"/>
          <w:szCs w:val="26"/>
          <w:rtl/>
        </w:rPr>
      </w:pPr>
      <w:r>
        <w:rPr>
          <w:rFonts w:cs="David"/>
          <w:sz w:val="26"/>
          <w:szCs w:val="26"/>
          <w:rtl/>
        </w:rPr>
        <w:t xml:space="preserve">ועדת צדוק עמדה על כך שעורכו של עיתון הוא בעל התפקיד המקצועי והציבורי הראשי במערכת העיתון. הוא נושא באחריות העיקרית לכך שהעיתון יתנהל באופן מקצועי ואחראי. הוא נושא באחריות הציבורית לאמון שקוראי העיתון נותנים גם באיכותה של האינפורמציה  שהוא מביא להם, וגם באיכותה של הפרשנות שהוא מציע להם. הוא האחראי להקפדה על הנורמות האתיות של העבודה העיתונאית המקצועית. ההחלטה למנות אדם מסוים כעורכו של עיתון היא החלטה בעלת חשיבות מכרעת לגבי טיבו של העיתון ואפילו גורלו. </w:t>
      </w:r>
    </w:p>
    <w:p w:rsidR="00DD7C11" w:rsidRDefault="00DD7C11" w:rsidP="00DD7C11">
      <w:pPr>
        <w:pStyle w:val="ae"/>
        <w:spacing w:line="360" w:lineRule="auto"/>
        <w:rPr>
          <w:rFonts w:cs="David"/>
          <w:sz w:val="26"/>
          <w:szCs w:val="26"/>
          <w:rtl/>
        </w:rPr>
      </w:pPr>
    </w:p>
    <w:p w:rsidR="00DD7C11" w:rsidRDefault="00DD7C11" w:rsidP="00DD7C11">
      <w:pPr>
        <w:spacing w:line="360" w:lineRule="auto"/>
        <w:rPr>
          <w:rFonts w:cs="David"/>
          <w:sz w:val="26"/>
          <w:szCs w:val="26"/>
          <w:rtl/>
        </w:rPr>
      </w:pPr>
      <w:r>
        <w:rPr>
          <w:rFonts w:cs="David"/>
          <w:sz w:val="26"/>
          <w:szCs w:val="26"/>
          <w:rtl/>
        </w:rPr>
        <w:t xml:space="preserve">עוד קבעה הועדה כי על אף ההגבלות על חופש הקניין, יש מקום להגביל בעלות על עיתון כאשר </w:t>
      </w:r>
      <w:r>
        <w:rPr>
          <w:rFonts w:cs="David"/>
          <w:sz w:val="26"/>
          <w:szCs w:val="26"/>
          <w:rtl/>
        </w:rPr>
        <w:lastRenderedPageBreak/>
        <w:t xml:space="preserve">מדובר באדם שעבר עבירה פלילית שיש עמה קלון. זאת בשל היותו של הבעלים בעל השפעה מובהקת על הנעשה בעיתונו. לפיכך הומלץ כי לאדם שאינו כשיר לשלוט בניהול עניני העיתון ימונה נאמן, שבידיו יופקדו סמכויות הניהול והשליטה. הוועדה סברה כי כך </w:t>
      </w:r>
      <w:proofErr w:type="spellStart"/>
      <w:r>
        <w:rPr>
          <w:rFonts w:cs="David"/>
          <w:sz w:val="26"/>
          <w:szCs w:val="26"/>
          <w:rtl/>
        </w:rPr>
        <w:t>יווצר</w:t>
      </w:r>
      <w:proofErr w:type="spellEnd"/>
      <w:r>
        <w:rPr>
          <w:rFonts w:cs="David"/>
          <w:sz w:val="26"/>
          <w:szCs w:val="26"/>
          <w:rtl/>
        </w:rPr>
        <w:t xml:space="preserve"> איזון ראוי בין האינטרס הציבורי בפיקוח על הפעלת שליטה בעיתון לבין זכות הקניין של בעל השליטה.</w:t>
      </w:r>
    </w:p>
    <w:p w:rsidR="00DD7C11" w:rsidRDefault="00DD7C11" w:rsidP="00DD7C11">
      <w:pPr>
        <w:spacing w:line="360" w:lineRule="auto"/>
        <w:rPr>
          <w:rFonts w:cs="David"/>
          <w:sz w:val="26"/>
          <w:szCs w:val="26"/>
          <w:rtl/>
        </w:rPr>
      </w:pPr>
    </w:p>
    <w:p w:rsidR="00DD7C11" w:rsidRDefault="00DD7C11" w:rsidP="00DD7C11">
      <w:pPr>
        <w:spacing w:line="360" w:lineRule="auto"/>
        <w:rPr>
          <w:rFonts w:cs="David"/>
          <w:sz w:val="26"/>
          <w:szCs w:val="26"/>
          <w:rtl/>
        </w:rPr>
      </w:pPr>
      <w:r>
        <w:rPr>
          <w:rFonts w:cs="David"/>
          <w:sz w:val="26"/>
          <w:szCs w:val="26"/>
          <w:rtl/>
        </w:rPr>
        <w:t xml:space="preserve">לאור האמור, יש חשיבות רבה בהסדרת הנושא בחוק, באופן בו בעל עבר פלילי בעבירה שיש עמה קלון לא ישמש כבעל שליטה מעשית בעיתון ולא </w:t>
      </w:r>
      <w:proofErr w:type="spellStart"/>
      <w:r>
        <w:rPr>
          <w:rFonts w:cs="David"/>
          <w:sz w:val="26"/>
          <w:szCs w:val="26"/>
          <w:rtl/>
        </w:rPr>
        <w:t>ישא</w:t>
      </w:r>
      <w:proofErr w:type="spellEnd"/>
      <w:r>
        <w:rPr>
          <w:rFonts w:cs="David"/>
          <w:sz w:val="26"/>
          <w:szCs w:val="26"/>
          <w:rtl/>
        </w:rPr>
        <w:t xml:space="preserve"> בתפקיד של עורך עיתון, תפקידים שהינם בעלי השפעה על מרקם החיים הדמוקרטיים.</w:t>
      </w:r>
    </w:p>
    <w:p w:rsidR="00DD7C11" w:rsidRDefault="00DD7C11" w:rsidP="00DD7C11">
      <w:pPr>
        <w:rPr>
          <w:rFonts w:cs="David"/>
          <w:sz w:val="26"/>
          <w:szCs w:val="26"/>
          <w:rtl/>
        </w:rPr>
      </w:pPr>
    </w:p>
    <w:p w:rsidR="00DD7C11" w:rsidRDefault="00DD7C11" w:rsidP="00DD7C11">
      <w:pPr>
        <w:spacing w:line="360" w:lineRule="auto"/>
        <w:rPr>
          <w:rFonts w:cs="David"/>
          <w:sz w:val="26"/>
          <w:szCs w:val="26"/>
          <w:rtl/>
        </w:rPr>
      </w:pPr>
      <w:r>
        <w:rPr>
          <w:rFonts w:cs="David"/>
          <w:sz w:val="26"/>
          <w:szCs w:val="26"/>
          <w:rtl/>
        </w:rPr>
        <w:t>הצעת חוק זהה הונחה על שולחן הכנסת החמש עשרה על ידי חברת הכנסת זהבה גלאון (פ/934) והוסרה מסדר יומה של הכנסת ביום 22.11.1999.</w:t>
      </w:r>
    </w:p>
    <w:p w:rsidR="00DD7C11" w:rsidRDefault="00DD7C11" w:rsidP="00DD7C11">
      <w:pPr>
        <w:spacing w:line="360" w:lineRule="auto"/>
        <w:rPr>
          <w:rFonts w:cs="David"/>
          <w:sz w:val="26"/>
          <w:szCs w:val="26"/>
          <w:rtl/>
        </w:rPr>
      </w:pPr>
    </w:p>
    <w:p w:rsidR="00DD7C11" w:rsidRDefault="00DD7C11" w:rsidP="00DD7C11">
      <w:pPr>
        <w:spacing w:line="360" w:lineRule="auto"/>
        <w:rPr>
          <w:rFonts w:cs="David"/>
          <w:sz w:val="26"/>
          <w:szCs w:val="26"/>
          <w:rtl/>
        </w:rPr>
      </w:pPr>
      <w:r>
        <w:rPr>
          <w:rFonts w:cs="David"/>
          <w:sz w:val="26"/>
          <w:szCs w:val="26"/>
          <w:rtl/>
        </w:rPr>
        <w:t>הצעת חוק זהה הונחה על ידי חברת הכנסת זהבה גלאון על שולחן הכנסת השש עשרה (פ/503) ועל שולחן הכנסת החמש עשרה (פ/3160).</w:t>
      </w:r>
    </w:p>
    <w:p w:rsidR="00DD7C11" w:rsidRDefault="00DD7C11" w:rsidP="00DD7C11">
      <w:pPr>
        <w:rPr>
          <w:rFonts w:cs="David"/>
          <w:sz w:val="26"/>
          <w:szCs w:val="26"/>
          <w:rtl/>
        </w:rPr>
      </w:pPr>
    </w:p>
    <w:p w:rsidR="00DD7C11" w:rsidRDefault="00DD7C11" w:rsidP="00DD7C11">
      <w:pPr>
        <w:rPr>
          <w:rFonts w:cs="David"/>
          <w:sz w:val="26"/>
          <w:szCs w:val="26"/>
          <w:rtl/>
        </w:rPr>
      </w:pPr>
    </w:p>
    <w:p w:rsidR="00DD7C11" w:rsidRDefault="00DD7C11" w:rsidP="00DD7C11">
      <w:pPr>
        <w:rPr>
          <w:rFonts w:cs="David"/>
          <w:sz w:val="26"/>
          <w:szCs w:val="26"/>
          <w:rtl/>
        </w:rPr>
      </w:pPr>
      <w:r>
        <w:rPr>
          <w:rFonts w:cs="David"/>
          <w:sz w:val="26"/>
          <w:szCs w:val="26"/>
          <w:rtl/>
        </w:rPr>
        <w:t>---------------------------------</w:t>
      </w:r>
    </w:p>
    <w:p w:rsidR="00DD7C11" w:rsidRDefault="00DD7C11" w:rsidP="00DD7C11">
      <w:pPr>
        <w:rPr>
          <w:rFonts w:cs="David"/>
          <w:sz w:val="26"/>
          <w:szCs w:val="26"/>
          <w:rtl/>
        </w:rPr>
      </w:pPr>
      <w:r>
        <w:rPr>
          <w:rFonts w:cs="David"/>
          <w:sz w:val="26"/>
          <w:szCs w:val="26"/>
          <w:rtl/>
        </w:rPr>
        <w:t>הוגשה ליו"ר הכנסת והסגנים</w:t>
      </w:r>
    </w:p>
    <w:p w:rsidR="00DD7C11" w:rsidRDefault="00DD7C11" w:rsidP="00DD7C11">
      <w:pPr>
        <w:rPr>
          <w:rFonts w:cs="David"/>
          <w:sz w:val="26"/>
          <w:szCs w:val="26"/>
          <w:rtl/>
        </w:rPr>
      </w:pPr>
      <w:r>
        <w:rPr>
          <w:rFonts w:cs="David"/>
          <w:sz w:val="26"/>
          <w:szCs w:val="26"/>
          <w:rtl/>
        </w:rPr>
        <w:t>והונחה על שולחן הכנסת ביום</w:t>
      </w:r>
    </w:p>
    <w:p w:rsidR="00DD7C11" w:rsidRDefault="00DD7C11" w:rsidP="00DD7C11">
      <w:pPr>
        <w:rPr>
          <w:rFonts w:cs="David"/>
          <w:sz w:val="26"/>
          <w:szCs w:val="26"/>
          <w:rtl/>
        </w:rPr>
      </w:pPr>
      <w:r>
        <w:rPr>
          <w:rFonts w:cs="David"/>
          <w:sz w:val="26"/>
          <w:szCs w:val="26"/>
          <w:rtl/>
        </w:rPr>
        <w:t xml:space="preserve">י באייר </w:t>
      </w:r>
      <w:proofErr w:type="spellStart"/>
      <w:r>
        <w:rPr>
          <w:rFonts w:cs="David"/>
          <w:sz w:val="26"/>
          <w:szCs w:val="26"/>
          <w:rtl/>
        </w:rPr>
        <w:t>התשס"ו</w:t>
      </w:r>
      <w:proofErr w:type="spellEnd"/>
      <w:r>
        <w:rPr>
          <w:rFonts w:cs="David"/>
          <w:sz w:val="26"/>
          <w:szCs w:val="26"/>
          <w:rtl/>
        </w:rPr>
        <w:t>- 8.5.06</w:t>
      </w:r>
    </w:p>
    <w:p w:rsidR="00DD7C11" w:rsidRDefault="00DD7C11" w:rsidP="00DD7C11">
      <w:pPr>
        <w:rPr>
          <w:rFonts w:cs="David"/>
          <w:sz w:val="26"/>
          <w:szCs w:val="26"/>
          <w:rtl/>
        </w:rPr>
      </w:pPr>
    </w:p>
    <w:p w:rsidR="00DD7C11" w:rsidRDefault="00DD7C11" w:rsidP="00DD7C11">
      <w:pPr>
        <w:rPr>
          <w:rFonts w:cs="David"/>
          <w:sz w:val="26"/>
          <w:szCs w:val="26"/>
          <w:rtl/>
        </w:rPr>
      </w:pPr>
    </w:p>
    <w:p w:rsidR="00DD7C11" w:rsidRDefault="00DD7C11" w:rsidP="00DD7C11">
      <w:pPr>
        <w:pStyle w:val="ac"/>
        <w:jc w:val="left"/>
        <w:rPr>
          <w:rFonts w:cs="David"/>
          <w:u w:val="none"/>
        </w:rPr>
      </w:pPr>
    </w:p>
    <w:p w:rsidR="00A95E42" w:rsidRPr="00DD7C11" w:rsidRDefault="00A95E42" w:rsidP="00DD7C11">
      <w:pPr>
        <w:rPr>
          <w:szCs w:val="22"/>
        </w:rPr>
      </w:pPr>
    </w:p>
    <w:sectPr w:rsidR="00A95E42" w:rsidRPr="00DD7C11"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50" w:rsidRDefault="00BA2C50" w:rsidP="00E22E48">
      <w:pPr>
        <w:spacing w:before="0" w:line="240" w:lineRule="auto"/>
      </w:pPr>
      <w:r>
        <w:separator/>
      </w:r>
    </w:p>
  </w:endnote>
  <w:endnote w:type="continuationSeparator" w:id="0">
    <w:p w:rsidR="00BA2C50" w:rsidRDefault="00BA2C50"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8621D6">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DD7C11">
      <w:rPr>
        <w:rStyle w:val="a8"/>
        <w:noProof/>
        <w:rtl/>
      </w:rPr>
      <w:t>3</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50" w:rsidRDefault="00BA2C50" w:rsidP="00E22E48">
      <w:pPr>
        <w:spacing w:before="0" w:line="240" w:lineRule="auto"/>
      </w:pPr>
      <w:r>
        <w:separator/>
      </w:r>
    </w:p>
  </w:footnote>
  <w:footnote w:type="continuationSeparator" w:id="0">
    <w:p w:rsidR="00BA2C50" w:rsidRDefault="00BA2C50" w:rsidP="00E22E48">
      <w:pPr>
        <w:spacing w:before="0" w:line="240" w:lineRule="auto"/>
      </w:pPr>
      <w:r>
        <w:continuationSeparator/>
      </w:r>
    </w:p>
  </w:footnote>
  <w:footnote w:id="1">
    <w:p w:rsidR="00DD7C11" w:rsidRDefault="00DD7C11" w:rsidP="00DD7C11">
      <w:pPr>
        <w:rPr>
          <w:rFonts w:cs="David"/>
          <w:sz w:val="20"/>
          <w:szCs w:val="20"/>
          <w:rtl/>
        </w:rPr>
      </w:pPr>
      <w:r>
        <w:rPr>
          <w:rStyle w:val="a5"/>
          <w:sz w:val="20"/>
          <w:szCs w:val="20"/>
          <w:rtl/>
        </w:rPr>
        <w:footnoteRef/>
      </w:r>
      <w:r>
        <w:rPr>
          <w:sz w:val="20"/>
          <w:szCs w:val="20"/>
          <w:rtl/>
        </w:rPr>
        <w:t xml:space="preserve"> </w:t>
      </w:r>
      <w:proofErr w:type="spellStart"/>
      <w:r>
        <w:rPr>
          <w:sz w:val="20"/>
          <w:szCs w:val="20"/>
          <w:rtl/>
        </w:rPr>
        <w:t>חא"י</w:t>
      </w:r>
      <w:proofErr w:type="spellEnd"/>
      <w:r>
        <w:rPr>
          <w:sz w:val="20"/>
          <w:szCs w:val="20"/>
          <w:rtl/>
        </w:rPr>
        <w:t xml:space="preserve">, כרך ב', </w:t>
      </w:r>
      <w:proofErr w:type="spellStart"/>
      <w:r>
        <w:rPr>
          <w:sz w:val="20"/>
          <w:szCs w:val="20"/>
          <w:rtl/>
        </w:rPr>
        <w:t>עמ</w:t>
      </w:r>
      <w:proofErr w:type="spellEnd"/>
      <w:r>
        <w:rPr>
          <w:sz w:val="20"/>
          <w:szCs w:val="20"/>
          <w:rtl/>
        </w:rPr>
        <w:t>' (ע) 1191, (א) 1214.</w:t>
      </w:r>
    </w:p>
    <w:p w:rsidR="00DD7C11" w:rsidRDefault="00DD7C11" w:rsidP="00DD7C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38D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20C7"/>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8A7"/>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414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5542"/>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C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684"/>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21D6"/>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54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426A"/>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1ADD"/>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2C50"/>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D7C11"/>
    <w:rsid w:val="00DE03AE"/>
    <w:rsid w:val="00DE2B97"/>
    <w:rsid w:val="00DE3DA9"/>
    <w:rsid w:val="00DE50F9"/>
    <w:rsid w:val="00DE5759"/>
    <w:rsid w:val="00DE5D1D"/>
    <w:rsid w:val="00DE720A"/>
    <w:rsid w:val="00DE75EF"/>
    <w:rsid w:val="00DF1E94"/>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03FC"/>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 w:type="paragraph" w:customStyle="1" w:styleId="TableInnerSideHeading">
    <w:name w:val="Table InnerSideHeading"/>
    <w:basedOn w:val="TableSideHeading"/>
    <w:uiPriority w:val="99"/>
    <w:rsid w:val="007A1C4A"/>
  </w:style>
  <w:style w:type="paragraph" w:customStyle="1" w:styleId="Hesber1st">
    <w:name w:val="Hesber 1st"/>
    <w:basedOn w:val="Hesber"/>
    <w:uiPriority w:val="99"/>
    <w:rsid w:val="007A1C4A"/>
    <w:pPr>
      <w:tabs>
        <w:tab w:val="left" w:pos="680"/>
        <w:tab w:val="left" w:pos="1020"/>
      </w:tabs>
      <w:ind w:firstLine="0"/>
    </w:pPr>
  </w:style>
  <w:style w:type="paragraph" w:customStyle="1" w:styleId="TableBlockOutdent">
    <w:name w:val="Table BlockOutdent"/>
    <w:basedOn w:val="TableBlock"/>
    <w:uiPriority w:val="99"/>
    <w:rsid w:val="003D414D"/>
    <w:pPr>
      <w:ind w:left="624" w:hanging="624"/>
    </w:pPr>
  </w:style>
  <w:style w:type="character" w:styleId="Hyperlink">
    <w:name w:val="Hyperlink"/>
    <w:basedOn w:val="a0"/>
    <w:uiPriority w:val="99"/>
    <w:rsid w:val="003D414D"/>
    <w:rPr>
      <w:rFonts w:cs="Times New Roman"/>
      <w:b/>
      <w:bCs/>
      <w:color w:val="517827"/>
      <w:u w:val="none"/>
      <w:effect w:val="none"/>
      <w:bdr w:val="none" w:sz="0" w:space="0" w:color="auto" w:frame="1"/>
    </w:rPr>
  </w:style>
  <w:style w:type="paragraph" w:customStyle="1" w:styleId="Noparagraphstyle">
    <w:name w:val="[No paragraph style]"/>
    <w:uiPriority w:val="99"/>
    <w:rsid w:val="00AA426A"/>
    <w:pPr>
      <w:widowControl w:val="0"/>
      <w:autoSpaceDE w:val="0"/>
      <w:autoSpaceDN w:val="0"/>
      <w:bidi/>
      <w:adjustRightInd w:val="0"/>
      <w:snapToGrid w:val="0"/>
      <w:spacing w:after="0" w:line="360" w:lineRule="auto"/>
      <w:textAlignment w:val="center"/>
    </w:pPr>
    <w:rPr>
      <w:rFonts w:ascii="Arial" w:eastAsia="Arial Unicode MS" w:hAnsi="Arial" w:cs="Arial Unicode MS"/>
      <w:color w:val="000000"/>
      <w:sz w:val="20"/>
      <w:szCs w:val="26"/>
      <w:lang w:eastAsia="ja-JP"/>
    </w:rPr>
  </w:style>
  <w:style w:type="paragraph" w:styleId="ac">
    <w:name w:val="Title"/>
    <w:basedOn w:val="a"/>
    <w:link w:val="ad"/>
    <w:uiPriority w:val="99"/>
    <w:qFormat/>
    <w:rsid w:val="00AA426A"/>
    <w:pPr>
      <w:widowControl/>
      <w:autoSpaceDE/>
      <w:autoSpaceDN/>
      <w:adjustRightInd/>
      <w:spacing w:before="0" w:line="240" w:lineRule="auto"/>
      <w:ind w:firstLine="0"/>
      <w:jc w:val="center"/>
      <w:textAlignment w:val="auto"/>
    </w:pPr>
    <w:rPr>
      <w:rFonts w:ascii="Times New Roman" w:eastAsia="Times New Roman" w:hAnsi="Times New Roman" w:cs="Times New Roman"/>
      <w:b/>
      <w:bCs/>
      <w:color w:val="auto"/>
      <w:spacing w:val="0"/>
      <w:sz w:val="28"/>
      <w:szCs w:val="28"/>
      <w:u w:val="single"/>
      <w:lang w:eastAsia="he-IL"/>
    </w:rPr>
  </w:style>
  <w:style w:type="character" w:customStyle="1" w:styleId="ad">
    <w:name w:val="תואר תו"/>
    <w:basedOn w:val="a0"/>
    <w:link w:val="ac"/>
    <w:uiPriority w:val="99"/>
    <w:rsid w:val="00AA426A"/>
    <w:rPr>
      <w:rFonts w:ascii="Times New Roman" w:eastAsia="Times New Roman" w:hAnsi="Times New Roman" w:cs="Times New Roman"/>
      <w:b/>
      <w:bCs/>
      <w:sz w:val="28"/>
      <w:szCs w:val="28"/>
      <w:u w:val="single"/>
      <w:lang w:eastAsia="he-IL"/>
    </w:rPr>
  </w:style>
  <w:style w:type="paragraph" w:styleId="ae">
    <w:name w:val="Body Text"/>
    <w:basedOn w:val="a"/>
    <w:link w:val="af"/>
    <w:uiPriority w:val="99"/>
    <w:rsid w:val="00DD7C11"/>
    <w:pPr>
      <w:widowControl/>
      <w:autoSpaceDE/>
      <w:autoSpaceDN/>
      <w:adjustRightInd/>
      <w:spacing w:before="0" w:line="240" w:lineRule="auto"/>
      <w:ind w:firstLine="0"/>
      <w:textAlignment w:val="auto"/>
    </w:pPr>
    <w:rPr>
      <w:rFonts w:ascii="Times New Roman" w:eastAsiaTheme="minorEastAsia" w:hAnsi="Times New Roman" w:cs="Times New Roman"/>
      <w:color w:val="auto"/>
      <w:spacing w:val="0"/>
      <w:sz w:val="20"/>
      <w:szCs w:val="24"/>
      <w:lang w:eastAsia="he-IL"/>
    </w:rPr>
  </w:style>
  <w:style w:type="character" w:customStyle="1" w:styleId="af">
    <w:name w:val="גוף טקסט תו"/>
    <w:basedOn w:val="a0"/>
    <w:link w:val="ae"/>
    <w:uiPriority w:val="99"/>
    <w:rsid w:val="00DD7C11"/>
    <w:rPr>
      <w:rFonts w:ascii="Times New Roman" w:eastAsiaTheme="minorEastAsia" w:hAnsi="Times New Roman" w:cs="Times New Roman"/>
      <w:sz w:val="20"/>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3017</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9</cp:revision>
  <dcterms:created xsi:type="dcterms:W3CDTF">2013-01-07T13:53:00Z</dcterms:created>
  <dcterms:modified xsi:type="dcterms:W3CDTF">2013-02-14T17:05:00Z</dcterms:modified>
</cp:coreProperties>
</file>