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14D" w:rsidRDefault="003D414D" w:rsidP="003D414D">
      <w:pPr>
        <w:pStyle w:val="HeadHatzaotHok"/>
        <w:rPr>
          <w:rFonts w:cs="David"/>
          <w:sz w:val="28"/>
          <w:szCs w:val="28"/>
          <w:rtl/>
        </w:rPr>
      </w:pPr>
      <w:r>
        <w:rPr>
          <w:rFonts w:cs="David"/>
          <w:sz w:val="28"/>
          <w:szCs w:val="28"/>
          <w:rtl/>
        </w:rPr>
        <w:t xml:space="preserve">הכנסת </w:t>
      </w:r>
      <w:bookmarkStart w:id="0" w:name="KnessetNum"/>
      <w:r>
        <w:rPr>
          <w:rFonts w:cs="David"/>
          <w:sz w:val="28"/>
          <w:szCs w:val="28"/>
          <w:rtl/>
        </w:rPr>
        <w:t>השמונה-עשרה</w:t>
      </w:r>
      <w:bookmarkEnd w:id="0"/>
    </w:p>
    <w:p w:rsidR="003D414D" w:rsidRDefault="003D414D" w:rsidP="003D414D">
      <w:pPr>
        <w:rPr>
          <w:rFonts w:cs="David"/>
          <w:sz w:val="26"/>
          <w:szCs w:val="26"/>
          <w:rtl/>
        </w:rPr>
      </w:pPr>
    </w:p>
    <w:p w:rsidR="003D414D" w:rsidRDefault="003D414D" w:rsidP="003D414D">
      <w:pPr>
        <w:pStyle w:val="David"/>
        <w:ind w:left="2880" w:firstLine="720"/>
        <w:rPr>
          <w:rFonts w:cs="David"/>
          <w:b/>
          <w:bCs/>
        </w:rPr>
      </w:pPr>
      <w:r>
        <w:rPr>
          <w:rFonts w:cs="David" w:hint="cs"/>
          <w:rtl/>
        </w:rPr>
        <w:t>הצעת</w:t>
      </w:r>
      <w:r>
        <w:rPr>
          <w:rFonts w:cs="David"/>
          <w:rtl/>
        </w:rPr>
        <w:t xml:space="preserve"> </w:t>
      </w:r>
      <w:r>
        <w:rPr>
          <w:rFonts w:cs="David" w:hint="cs"/>
          <w:rtl/>
        </w:rPr>
        <w:t>חוק</w:t>
      </w:r>
      <w:r>
        <w:rPr>
          <w:rFonts w:cs="David"/>
          <w:rtl/>
        </w:rPr>
        <w:t xml:space="preserve"> </w:t>
      </w:r>
      <w:r>
        <w:rPr>
          <w:rFonts w:cs="David" w:hint="cs"/>
          <w:rtl/>
        </w:rPr>
        <w:t>של</w:t>
      </w:r>
      <w:r>
        <w:rPr>
          <w:rFonts w:cs="David"/>
          <w:rtl/>
        </w:rPr>
        <w:t xml:space="preserve">  </w:t>
      </w:r>
      <w:bookmarkStart w:id="1" w:name="MKsSingleOrMulti"/>
      <w:r>
        <w:rPr>
          <w:rFonts w:cs="David" w:hint="cs"/>
          <w:rtl/>
        </w:rPr>
        <w:t>חברי</w:t>
      </w:r>
      <w:r>
        <w:rPr>
          <w:rFonts w:cs="David"/>
          <w:rtl/>
        </w:rPr>
        <w:t xml:space="preserve"> </w:t>
      </w:r>
      <w:r>
        <w:rPr>
          <w:rFonts w:cs="David" w:hint="cs"/>
          <w:rtl/>
        </w:rPr>
        <w:t>הכנסת</w:t>
      </w:r>
      <w:bookmarkEnd w:id="1"/>
      <w:r>
        <w:rPr>
          <w:rFonts w:cs="David"/>
        </w:rPr>
        <w:tab/>
      </w:r>
      <w:r>
        <w:rPr>
          <w:rFonts w:cs="David"/>
        </w:rPr>
        <w:tab/>
      </w:r>
      <w:bookmarkStart w:id="2" w:name="MKs"/>
      <w:r>
        <w:rPr>
          <w:rFonts w:cs="David" w:hint="cs"/>
          <w:b/>
          <w:bCs/>
          <w:rtl/>
        </w:rPr>
        <w:t>ישראל</w:t>
      </w:r>
      <w:r>
        <w:rPr>
          <w:rFonts w:cs="David"/>
          <w:b/>
          <w:bCs/>
          <w:rtl/>
        </w:rPr>
        <w:t xml:space="preserve"> </w:t>
      </w:r>
      <w:r>
        <w:rPr>
          <w:rFonts w:cs="David" w:hint="cs"/>
          <w:b/>
          <w:bCs/>
          <w:rtl/>
        </w:rPr>
        <w:t>חסון</w:t>
      </w:r>
    </w:p>
    <w:p w:rsidR="003D414D" w:rsidRDefault="003D414D" w:rsidP="003D414D">
      <w:pPr>
        <w:pStyle w:val="David"/>
        <w:ind w:left="2880" w:firstLine="720"/>
        <w:rPr>
          <w:rFonts w:cs="David"/>
          <w:b/>
          <w:bCs/>
        </w:rPr>
      </w:pPr>
      <w:r>
        <w:rPr>
          <w:rFonts w:cs="David"/>
          <w:b/>
          <w:bCs/>
        </w:rPr>
        <w:tab/>
      </w:r>
      <w:r>
        <w:rPr>
          <w:rFonts w:cs="David"/>
          <w:b/>
          <w:bCs/>
        </w:rPr>
        <w:tab/>
      </w:r>
      <w:r>
        <w:rPr>
          <w:rFonts w:cs="David"/>
          <w:b/>
          <w:bCs/>
        </w:rPr>
        <w:tab/>
      </w:r>
      <w:r>
        <w:rPr>
          <w:rFonts w:cs="David"/>
          <w:b/>
          <w:bCs/>
        </w:rPr>
        <w:tab/>
      </w:r>
      <w:r>
        <w:rPr>
          <w:rFonts w:cs="David"/>
          <w:b/>
          <w:bCs/>
        </w:rPr>
        <w:tab/>
      </w:r>
      <w:r>
        <w:rPr>
          <w:rFonts w:cs="David" w:hint="cs"/>
          <w:b/>
          <w:bCs/>
          <w:rtl/>
        </w:rPr>
        <w:t>אריה</w:t>
      </w:r>
      <w:r>
        <w:rPr>
          <w:rFonts w:cs="David"/>
          <w:b/>
          <w:bCs/>
          <w:rtl/>
        </w:rPr>
        <w:t xml:space="preserve"> </w:t>
      </w:r>
      <w:r>
        <w:rPr>
          <w:rFonts w:cs="David" w:hint="cs"/>
          <w:b/>
          <w:bCs/>
          <w:rtl/>
        </w:rPr>
        <w:t>אלדד</w:t>
      </w:r>
    </w:p>
    <w:p w:rsidR="003D414D" w:rsidRDefault="003D414D" w:rsidP="003D414D">
      <w:pPr>
        <w:pStyle w:val="David"/>
        <w:ind w:left="2880" w:firstLine="720"/>
        <w:rPr>
          <w:rFonts w:cs="David"/>
          <w:b/>
          <w:bCs/>
        </w:rPr>
      </w:pPr>
      <w:r>
        <w:rPr>
          <w:rFonts w:cs="David"/>
          <w:b/>
          <w:bCs/>
        </w:rPr>
        <w:tab/>
      </w:r>
      <w:r>
        <w:rPr>
          <w:rFonts w:cs="David"/>
          <w:b/>
          <w:bCs/>
        </w:rPr>
        <w:tab/>
      </w:r>
      <w:r>
        <w:rPr>
          <w:rFonts w:cs="David"/>
          <w:b/>
          <w:bCs/>
        </w:rPr>
        <w:tab/>
      </w:r>
      <w:r>
        <w:rPr>
          <w:rFonts w:cs="David"/>
          <w:b/>
          <w:bCs/>
        </w:rPr>
        <w:tab/>
      </w:r>
      <w:r>
        <w:rPr>
          <w:rFonts w:cs="David"/>
          <w:b/>
          <w:bCs/>
        </w:rPr>
        <w:tab/>
      </w:r>
      <w:r>
        <w:rPr>
          <w:rFonts w:cs="David" w:hint="cs"/>
          <w:b/>
          <w:bCs/>
          <w:rtl/>
        </w:rPr>
        <w:t>יריב</w:t>
      </w:r>
      <w:r>
        <w:rPr>
          <w:rFonts w:cs="David"/>
          <w:b/>
          <w:bCs/>
          <w:rtl/>
        </w:rPr>
        <w:t xml:space="preserve"> </w:t>
      </w:r>
      <w:proofErr w:type="spellStart"/>
      <w:r>
        <w:rPr>
          <w:rFonts w:cs="David" w:hint="cs"/>
          <w:b/>
          <w:bCs/>
          <w:rtl/>
        </w:rPr>
        <w:t>לוין</w:t>
      </w:r>
      <w:proofErr w:type="spellEnd"/>
    </w:p>
    <w:p w:rsidR="003D414D" w:rsidRDefault="003D414D" w:rsidP="003D414D">
      <w:pPr>
        <w:pStyle w:val="David"/>
        <w:ind w:left="2880" w:firstLine="720"/>
        <w:rPr>
          <w:rFonts w:cs="David"/>
          <w:b/>
          <w:bCs/>
        </w:rPr>
      </w:pPr>
      <w:r>
        <w:rPr>
          <w:rFonts w:cs="David"/>
          <w:b/>
          <w:bCs/>
        </w:rPr>
        <w:tab/>
      </w:r>
      <w:r>
        <w:rPr>
          <w:rFonts w:cs="David"/>
          <w:b/>
          <w:bCs/>
        </w:rPr>
        <w:tab/>
      </w:r>
      <w:r>
        <w:rPr>
          <w:rFonts w:cs="David"/>
          <w:b/>
          <w:bCs/>
        </w:rPr>
        <w:tab/>
      </w:r>
      <w:r>
        <w:rPr>
          <w:rFonts w:cs="David"/>
          <w:b/>
          <w:bCs/>
        </w:rPr>
        <w:tab/>
      </w:r>
      <w:r>
        <w:rPr>
          <w:rFonts w:cs="David"/>
          <w:b/>
          <w:bCs/>
        </w:rPr>
        <w:tab/>
      </w:r>
      <w:r>
        <w:rPr>
          <w:rFonts w:cs="David" w:hint="cs"/>
          <w:b/>
          <w:bCs/>
          <w:rtl/>
        </w:rPr>
        <w:t>ציון</w:t>
      </w:r>
      <w:r>
        <w:rPr>
          <w:rFonts w:cs="David"/>
          <w:b/>
          <w:bCs/>
          <w:rtl/>
        </w:rPr>
        <w:t xml:space="preserve"> </w:t>
      </w:r>
      <w:proofErr w:type="spellStart"/>
      <w:r>
        <w:rPr>
          <w:rFonts w:cs="David" w:hint="cs"/>
          <w:b/>
          <w:bCs/>
          <w:rtl/>
        </w:rPr>
        <w:t>פיניאן</w:t>
      </w:r>
      <w:bookmarkEnd w:id="2"/>
      <w:proofErr w:type="spellEnd"/>
    </w:p>
    <w:p w:rsidR="003D414D" w:rsidRDefault="003D414D" w:rsidP="003D414D">
      <w:pPr>
        <w:ind w:left="2880" w:firstLine="720"/>
        <w:rPr>
          <w:rFonts w:cs="David"/>
          <w:sz w:val="26"/>
          <w:szCs w:val="26"/>
          <w:rtl/>
        </w:rPr>
      </w:pPr>
      <w:r>
        <w:rPr>
          <w:rFonts w:cs="David"/>
          <w:sz w:val="26"/>
          <w:szCs w:val="26"/>
        </w:rPr>
        <w:tab/>
      </w:r>
      <w:r>
        <w:rPr>
          <w:rFonts w:cs="David"/>
          <w:sz w:val="26"/>
          <w:szCs w:val="26"/>
        </w:rPr>
        <w:tab/>
      </w:r>
      <w:r>
        <w:rPr>
          <w:rFonts w:cs="David"/>
          <w:sz w:val="26"/>
          <w:szCs w:val="26"/>
        </w:rPr>
        <w:tab/>
      </w:r>
      <w:bookmarkStart w:id="3" w:name="MKs1"/>
      <w:bookmarkEnd w:id="3"/>
      <w:r>
        <w:rPr>
          <w:rFonts w:cs="David"/>
          <w:sz w:val="26"/>
          <w:szCs w:val="26"/>
        </w:rPr>
        <w:tab/>
      </w:r>
      <w:r>
        <w:rPr>
          <w:rFonts w:cs="David"/>
          <w:sz w:val="26"/>
          <w:szCs w:val="26"/>
          <w:rtl/>
        </w:rPr>
        <w:tab/>
      </w:r>
      <w:r>
        <w:rPr>
          <w:rFonts w:cs="David"/>
          <w:sz w:val="26"/>
          <w:szCs w:val="26"/>
          <w:rtl/>
        </w:rPr>
        <w:tab/>
      </w:r>
      <w:r>
        <w:rPr>
          <w:rFonts w:cs="David"/>
          <w:sz w:val="26"/>
          <w:szCs w:val="26"/>
          <w:rtl/>
        </w:rPr>
        <w:tab/>
      </w:r>
    </w:p>
    <w:p w:rsidR="003D414D" w:rsidRDefault="003D414D" w:rsidP="003D414D">
      <w:pPr>
        <w:ind w:left="2919" w:firstLine="720"/>
        <w:rPr>
          <w:rFonts w:cs="David"/>
          <w:sz w:val="26"/>
          <w:szCs w:val="26"/>
          <w:rtl/>
        </w:rPr>
      </w:pPr>
      <w:r>
        <w:rPr>
          <w:noProof/>
          <w:lang w:eastAsia="en-US"/>
        </w:rPr>
        <w:pict>
          <v:line id="_x0000_s1027" style="position:absolute;left:0;text-align:left;z-index:251660288" from=".1pt,5.1pt" to="300.1pt,5.1pt">
            <w10:wrap anchorx="page"/>
          </v:line>
        </w:pict>
      </w:r>
      <w:r>
        <w:rPr>
          <w:rFonts w:cs="David"/>
          <w:sz w:val="26"/>
          <w:szCs w:val="26"/>
          <w:rtl/>
        </w:rPr>
        <w:tab/>
      </w:r>
      <w:r>
        <w:rPr>
          <w:rFonts w:cs="David"/>
          <w:sz w:val="26"/>
          <w:szCs w:val="26"/>
          <w:rtl/>
        </w:rPr>
        <w:tab/>
      </w:r>
      <w:r>
        <w:rPr>
          <w:rFonts w:cs="David"/>
          <w:sz w:val="26"/>
          <w:szCs w:val="26"/>
          <w:rtl/>
        </w:rPr>
        <w:tab/>
      </w:r>
      <w:r>
        <w:rPr>
          <w:rFonts w:cs="David"/>
          <w:sz w:val="26"/>
          <w:szCs w:val="26"/>
          <w:rtl/>
        </w:rPr>
        <w:tab/>
      </w:r>
      <w:r>
        <w:rPr>
          <w:rFonts w:cs="David"/>
          <w:sz w:val="26"/>
          <w:szCs w:val="26"/>
          <w:rtl/>
        </w:rPr>
        <w:tab/>
      </w:r>
      <w:bookmarkStart w:id="4" w:name="LawNum"/>
      <w:r>
        <w:rPr>
          <w:rFonts w:cs="David" w:hint="cs"/>
          <w:sz w:val="26"/>
          <w:szCs w:val="26"/>
          <w:rtl/>
        </w:rPr>
        <w:t>פ</w:t>
      </w:r>
      <w:r>
        <w:rPr>
          <w:rFonts w:cs="David"/>
          <w:sz w:val="26"/>
          <w:szCs w:val="26"/>
          <w:rtl/>
        </w:rPr>
        <w:t>/2376/18</w:t>
      </w:r>
      <w:bookmarkEnd w:id="4"/>
      <w:r>
        <w:rPr>
          <w:rFonts w:cs="David"/>
          <w:sz w:val="26"/>
          <w:szCs w:val="26"/>
          <w:rtl/>
        </w:rPr>
        <w:tab/>
      </w:r>
      <w:r>
        <w:rPr>
          <w:rFonts w:cs="David"/>
          <w:sz w:val="26"/>
          <w:szCs w:val="26"/>
          <w:rtl/>
        </w:rPr>
        <w:tab/>
      </w:r>
      <w:r>
        <w:rPr>
          <w:rFonts w:cs="David"/>
          <w:sz w:val="26"/>
          <w:szCs w:val="26"/>
          <w:rtl/>
        </w:rPr>
        <w:tab/>
      </w:r>
    </w:p>
    <w:p w:rsidR="003D414D" w:rsidRDefault="003D414D" w:rsidP="003D414D">
      <w:pPr>
        <w:pStyle w:val="HeadHatzaotHok"/>
        <w:tabs>
          <w:tab w:val="left" w:pos="4071"/>
          <w:tab w:val="center" w:pos="4819"/>
        </w:tabs>
        <w:spacing w:before="0"/>
        <w:rPr>
          <w:rFonts w:cs="David"/>
          <w:sz w:val="26"/>
          <w:rtl/>
        </w:rPr>
      </w:pPr>
      <w:bookmarkStart w:id="5" w:name="Title"/>
      <w:r>
        <w:rPr>
          <w:rFonts w:cs="David"/>
          <w:sz w:val="26"/>
          <w:rtl/>
        </w:rPr>
        <w:t xml:space="preserve">הצעת חוק לתיקון פקודת העיתונות (מתן זכות תגובה), </w:t>
      </w:r>
      <w:proofErr w:type="spellStart"/>
      <w:r>
        <w:rPr>
          <w:rFonts w:cs="David"/>
          <w:sz w:val="26"/>
          <w:rtl/>
        </w:rPr>
        <w:t>התש"ע–2010</w:t>
      </w:r>
      <w:bookmarkEnd w:id="5"/>
      <w:proofErr w:type="spellEnd"/>
    </w:p>
    <w:p w:rsidR="003D414D" w:rsidRDefault="003D414D" w:rsidP="003D414D">
      <w:pPr>
        <w:pStyle w:val="HeadHatzaotHok"/>
        <w:tabs>
          <w:tab w:val="left" w:pos="4071"/>
          <w:tab w:val="center" w:pos="4819"/>
        </w:tabs>
        <w:spacing w:before="0"/>
        <w:rPr>
          <w:rFonts w:cs="David"/>
          <w:sz w:val="26"/>
          <w:rtl/>
        </w:rPr>
      </w:pPr>
    </w:p>
    <w:tbl>
      <w:tblPr>
        <w:bidiVisual/>
        <w:tblW w:w="9641" w:type="dxa"/>
        <w:tblInd w:w="-8" w:type="dxa"/>
        <w:tblLayout w:type="fixed"/>
        <w:tblCellMar>
          <w:top w:w="57" w:type="dxa"/>
          <w:left w:w="0" w:type="dxa"/>
          <w:bottom w:w="57" w:type="dxa"/>
          <w:right w:w="0" w:type="dxa"/>
        </w:tblCellMar>
        <w:tblLook w:val="0000"/>
      </w:tblPr>
      <w:tblGrid>
        <w:gridCol w:w="1871"/>
        <w:gridCol w:w="624"/>
        <w:gridCol w:w="624"/>
        <w:gridCol w:w="624"/>
        <w:gridCol w:w="624"/>
        <w:gridCol w:w="27"/>
        <w:gridCol w:w="597"/>
        <w:gridCol w:w="4650"/>
      </w:tblGrid>
      <w:tr w:rsidR="003D414D" w:rsidTr="00E86C0C">
        <w:trPr>
          <w:cantSplit/>
          <w:trHeight w:val="60"/>
        </w:trPr>
        <w:tc>
          <w:tcPr>
            <w:tcW w:w="1871" w:type="dxa"/>
            <w:tcBorders>
              <w:top w:val="nil"/>
              <w:left w:val="nil"/>
              <w:bottom w:val="nil"/>
              <w:right w:val="nil"/>
            </w:tcBorders>
          </w:tcPr>
          <w:p w:rsidR="003D414D" w:rsidRDefault="003D414D" w:rsidP="00E86C0C">
            <w:pPr>
              <w:pStyle w:val="TableSideHeading"/>
              <w:keepLines w:val="0"/>
              <w:rPr>
                <w:rFonts w:cs="David"/>
              </w:rPr>
            </w:pPr>
            <w:r>
              <w:rPr>
                <w:rFonts w:cs="David"/>
                <w:sz w:val="26"/>
                <w:rtl/>
              </w:rPr>
              <w:t>הוספת סעיף 18א</w:t>
            </w:r>
          </w:p>
        </w:tc>
        <w:tc>
          <w:tcPr>
            <w:tcW w:w="624" w:type="dxa"/>
            <w:tcBorders>
              <w:top w:val="nil"/>
              <w:left w:val="nil"/>
              <w:bottom w:val="nil"/>
              <w:right w:val="nil"/>
            </w:tcBorders>
          </w:tcPr>
          <w:p w:rsidR="003D414D" w:rsidRDefault="003D414D" w:rsidP="00E86C0C">
            <w:pPr>
              <w:pStyle w:val="TableText"/>
              <w:keepLines w:val="0"/>
              <w:rPr>
                <w:rFonts w:cs="David"/>
              </w:rPr>
            </w:pPr>
            <w:r>
              <w:rPr>
                <w:rFonts w:cs="David"/>
                <w:sz w:val="26"/>
                <w:rtl/>
              </w:rPr>
              <w:t>1.</w:t>
            </w:r>
          </w:p>
        </w:tc>
        <w:tc>
          <w:tcPr>
            <w:tcW w:w="7146" w:type="dxa"/>
            <w:gridSpan w:val="6"/>
            <w:tcBorders>
              <w:top w:val="nil"/>
              <w:left w:val="nil"/>
              <w:bottom w:val="nil"/>
              <w:right w:val="nil"/>
            </w:tcBorders>
          </w:tcPr>
          <w:p w:rsidR="003D414D" w:rsidRDefault="003D414D" w:rsidP="00E86C0C">
            <w:pPr>
              <w:pStyle w:val="TableBlock"/>
              <w:keepLines w:val="0"/>
              <w:rPr>
                <w:rFonts w:cs="David"/>
              </w:rPr>
            </w:pPr>
            <w:r>
              <w:rPr>
                <w:rFonts w:cs="David"/>
                <w:sz w:val="26"/>
                <w:rtl/>
              </w:rPr>
              <w:t>בפקודת העיתונות</w:t>
            </w:r>
            <w:r>
              <w:rPr>
                <w:rStyle w:val="a5"/>
                <w:rFonts w:cs="David"/>
                <w:sz w:val="26"/>
                <w:rtl/>
              </w:rPr>
              <w:footnoteReference w:id="1"/>
            </w:r>
            <w:r>
              <w:rPr>
                <w:rFonts w:cs="David"/>
                <w:sz w:val="26"/>
                <w:rtl/>
              </w:rPr>
              <w:t xml:space="preserve"> , אחרי סעיף 18 יבוא:</w:t>
            </w:r>
          </w:p>
        </w:tc>
      </w:tr>
      <w:tr w:rsidR="003D414D" w:rsidTr="00E86C0C">
        <w:trPr>
          <w:cantSplit/>
          <w:trHeight w:val="60"/>
        </w:trPr>
        <w:tc>
          <w:tcPr>
            <w:tcW w:w="1871" w:type="dxa"/>
            <w:tcBorders>
              <w:top w:val="nil"/>
              <w:left w:val="nil"/>
              <w:bottom w:val="nil"/>
              <w:right w:val="nil"/>
            </w:tcBorders>
          </w:tcPr>
          <w:p w:rsidR="003D414D" w:rsidRDefault="003D414D" w:rsidP="00E86C0C">
            <w:pPr>
              <w:pStyle w:val="TableSideHeading"/>
              <w:keepLines w:val="0"/>
              <w:rPr>
                <w:rFonts w:cs="David"/>
              </w:rPr>
            </w:pPr>
          </w:p>
        </w:tc>
        <w:tc>
          <w:tcPr>
            <w:tcW w:w="624" w:type="dxa"/>
            <w:tcBorders>
              <w:top w:val="nil"/>
              <w:left w:val="nil"/>
              <w:bottom w:val="nil"/>
              <w:right w:val="nil"/>
            </w:tcBorders>
          </w:tcPr>
          <w:p w:rsidR="003D414D" w:rsidRDefault="003D414D" w:rsidP="00E86C0C">
            <w:pPr>
              <w:pStyle w:val="TableText"/>
              <w:keepLines w:val="0"/>
              <w:rPr>
                <w:rFonts w:cs="David"/>
              </w:rPr>
            </w:pPr>
          </w:p>
        </w:tc>
        <w:tc>
          <w:tcPr>
            <w:tcW w:w="1899" w:type="dxa"/>
            <w:gridSpan w:val="4"/>
            <w:tcBorders>
              <w:top w:val="nil"/>
              <w:left w:val="nil"/>
              <w:bottom w:val="nil"/>
              <w:right w:val="nil"/>
            </w:tcBorders>
          </w:tcPr>
          <w:p w:rsidR="003D414D" w:rsidRDefault="003D414D" w:rsidP="00E86C0C">
            <w:pPr>
              <w:pStyle w:val="TableInnerSideHeading"/>
              <w:rPr>
                <w:rFonts w:cs="David"/>
              </w:rPr>
            </w:pPr>
            <w:r>
              <w:rPr>
                <w:rFonts w:cs="David"/>
                <w:sz w:val="26"/>
                <w:rtl/>
              </w:rPr>
              <w:t>"מתן זכות תגובה</w:t>
            </w:r>
          </w:p>
        </w:tc>
        <w:tc>
          <w:tcPr>
            <w:tcW w:w="597" w:type="dxa"/>
            <w:tcBorders>
              <w:top w:val="nil"/>
              <w:left w:val="nil"/>
              <w:bottom w:val="nil"/>
              <w:right w:val="nil"/>
            </w:tcBorders>
          </w:tcPr>
          <w:p w:rsidR="003D414D" w:rsidRDefault="003D414D" w:rsidP="00E86C0C">
            <w:pPr>
              <w:pStyle w:val="TableText"/>
              <w:rPr>
                <w:rFonts w:cs="David"/>
              </w:rPr>
            </w:pPr>
            <w:r>
              <w:rPr>
                <w:rFonts w:cs="David"/>
                <w:sz w:val="26"/>
                <w:rtl/>
              </w:rPr>
              <w:t>18א.</w:t>
            </w:r>
          </w:p>
        </w:tc>
        <w:tc>
          <w:tcPr>
            <w:tcW w:w="4650" w:type="dxa"/>
            <w:tcBorders>
              <w:top w:val="nil"/>
              <w:left w:val="nil"/>
              <w:bottom w:val="nil"/>
              <w:right w:val="nil"/>
            </w:tcBorders>
          </w:tcPr>
          <w:p w:rsidR="003D414D" w:rsidRDefault="003D414D" w:rsidP="00E86C0C">
            <w:pPr>
              <w:pStyle w:val="TableBlock"/>
              <w:rPr>
                <w:rFonts w:cs="David"/>
                <w:sz w:val="26"/>
              </w:rPr>
            </w:pPr>
            <w:r>
              <w:rPr>
                <w:rFonts w:cs="David"/>
                <w:sz w:val="26"/>
                <w:rtl/>
              </w:rPr>
              <w:t xml:space="preserve">(א)     בסעיף זה – </w:t>
            </w:r>
            <w:r>
              <w:rPr>
                <w:rFonts w:cs="David"/>
                <w:sz w:val="26"/>
                <w:rtl/>
              </w:rPr>
              <w:tab/>
            </w:r>
          </w:p>
        </w:tc>
      </w:tr>
      <w:tr w:rsidR="003D414D" w:rsidTr="00E86C0C">
        <w:trPr>
          <w:cantSplit/>
          <w:trHeight w:val="60"/>
        </w:trPr>
        <w:tc>
          <w:tcPr>
            <w:tcW w:w="1871" w:type="dxa"/>
            <w:tcBorders>
              <w:top w:val="nil"/>
              <w:left w:val="nil"/>
              <w:bottom w:val="nil"/>
              <w:right w:val="nil"/>
            </w:tcBorders>
          </w:tcPr>
          <w:p w:rsidR="003D414D" w:rsidRDefault="003D414D" w:rsidP="00E86C0C">
            <w:pPr>
              <w:pStyle w:val="TableSideHeading"/>
              <w:rPr>
                <w:rFonts w:cs="David"/>
              </w:rPr>
            </w:pPr>
          </w:p>
        </w:tc>
        <w:tc>
          <w:tcPr>
            <w:tcW w:w="624" w:type="dxa"/>
            <w:tcBorders>
              <w:top w:val="nil"/>
              <w:left w:val="nil"/>
              <w:bottom w:val="nil"/>
              <w:right w:val="nil"/>
            </w:tcBorders>
          </w:tcPr>
          <w:p w:rsidR="003D414D" w:rsidRDefault="003D414D" w:rsidP="00E86C0C">
            <w:pPr>
              <w:pStyle w:val="TableText"/>
              <w:rPr>
                <w:rFonts w:cs="David"/>
              </w:rPr>
            </w:pPr>
          </w:p>
        </w:tc>
        <w:tc>
          <w:tcPr>
            <w:tcW w:w="624" w:type="dxa"/>
            <w:tcBorders>
              <w:top w:val="nil"/>
              <w:left w:val="nil"/>
              <w:bottom w:val="nil"/>
              <w:right w:val="nil"/>
            </w:tcBorders>
          </w:tcPr>
          <w:p w:rsidR="003D414D" w:rsidRDefault="003D414D" w:rsidP="00E86C0C">
            <w:pPr>
              <w:pStyle w:val="TableText"/>
              <w:rPr>
                <w:rFonts w:cs="David"/>
              </w:rPr>
            </w:pPr>
          </w:p>
        </w:tc>
        <w:tc>
          <w:tcPr>
            <w:tcW w:w="624" w:type="dxa"/>
            <w:tcBorders>
              <w:top w:val="nil"/>
              <w:left w:val="nil"/>
              <w:bottom w:val="nil"/>
              <w:right w:val="nil"/>
            </w:tcBorders>
          </w:tcPr>
          <w:p w:rsidR="003D414D" w:rsidRDefault="003D414D" w:rsidP="00E86C0C">
            <w:pPr>
              <w:pStyle w:val="TableText"/>
              <w:rPr>
                <w:rFonts w:cs="David"/>
              </w:rPr>
            </w:pPr>
          </w:p>
        </w:tc>
        <w:tc>
          <w:tcPr>
            <w:tcW w:w="624" w:type="dxa"/>
            <w:tcBorders>
              <w:top w:val="nil"/>
              <w:left w:val="nil"/>
              <w:bottom w:val="nil"/>
              <w:right w:val="nil"/>
            </w:tcBorders>
          </w:tcPr>
          <w:p w:rsidR="003D414D" w:rsidRDefault="003D414D" w:rsidP="00E86C0C">
            <w:pPr>
              <w:pStyle w:val="TableText"/>
              <w:rPr>
                <w:rFonts w:cs="David"/>
              </w:rPr>
            </w:pPr>
          </w:p>
        </w:tc>
        <w:tc>
          <w:tcPr>
            <w:tcW w:w="624" w:type="dxa"/>
            <w:gridSpan w:val="2"/>
            <w:tcBorders>
              <w:top w:val="nil"/>
              <w:left w:val="nil"/>
              <w:bottom w:val="nil"/>
              <w:right w:val="nil"/>
            </w:tcBorders>
          </w:tcPr>
          <w:p w:rsidR="003D414D" w:rsidRDefault="003D414D" w:rsidP="00E86C0C">
            <w:pPr>
              <w:pStyle w:val="TableText"/>
              <w:rPr>
                <w:rFonts w:cs="David"/>
              </w:rPr>
            </w:pPr>
          </w:p>
        </w:tc>
        <w:tc>
          <w:tcPr>
            <w:tcW w:w="4650" w:type="dxa"/>
            <w:tcBorders>
              <w:top w:val="nil"/>
              <w:left w:val="nil"/>
              <w:bottom w:val="nil"/>
              <w:right w:val="nil"/>
            </w:tcBorders>
          </w:tcPr>
          <w:p w:rsidR="003D414D" w:rsidRDefault="003D414D" w:rsidP="00E86C0C">
            <w:pPr>
              <w:pStyle w:val="TableBlockOutdent"/>
              <w:rPr>
                <w:rFonts w:cs="David"/>
              </w:rPr>
            </w:pPr>
            <w:r>
              <w:rPr>
                <w:rFonts w:cs="David"/>
                <w:sz w:val="26"/>
                <w:rtl/>
              </w:rPr>
              <w:t>"נפגע" – אדם אשר עורך עיתון פרסם ידיעה או כתבה הפוגעת בו, ובמקרה של אדם שנפטר – קרובו;</w:t>
            </w:r>
          </w:p>
        </w:tc>
      </w:tr>
      <w:tr w:rsidR="003D414D" w:rsidTr="00E86C0C">
        <w:trPr>
          <w:cantSplit/>
          <w:trHeight w:val="60"/>
        </w:trPr>
        <w:tc>
          <w:tcPr>
            <w:tcW w:w="1871" w:type="dxa"/>
            <w:tcBorders>
              <w:top w:val="nil"/>
              <w:left w:val="nil"/>
              <w:bottom w:val="nil"/>
              <w:right w:val="nil"/>
            </w:tcBorders>
          </w:tcPr>
          <w:p w:rsidR="003D414D" w:rsidRDefault="003D414D" w:rsidP="00E86C0C">
            <w:pPr>
              <w:pStyle w:val="TableSideHeading"/>
              <w:rPr>
                <w:rFonts w:cs="David"/>
              </w:rPr>
            </w:pPr>
          </w:p>
        </w:tc>
        <w:tc>
          <w:tcPr>
            <w:tcW w:w="624" w:type="dxa"/>
            <w:tcBorders>
              <w:top w:val="nil"/>
              <w:left w:val="nil"/>
              <w:bottom w:val="nil"/>
              <w:right w:val="nil"/>
            </w:tcBorders>
          </w:tcPr>
          <w:p w:rsidR="003D414D" w:rsidRDefault="003D414D" w:rsidP="00E86C0C">
            <w:pPr>
              <w:pStyle w:val="TableText"/>
              <w:rPr>
                <w:rFonts w:cs="David"/>
              </w:rPr>
            </w:pPr>
          </w:p>
        </w:tc>
        <w:tc>
          <w:tcPr>
            <w:tcW w:w="624" w:type="dxa"/>
            <w:tcBorders>
              <w:top w:val="nil"/>
              <w:left w:val="nil"/>
              <w:bottom w:val="nil"/>
              <w:right w:val="nil"/>
            </w:tcBorders>
          </w:tcPr>
          <w:p w:rsidR="003D414D" w:rsidRDefault="003D414D" w:rsidP="00E86C0C">
            <w:pPr>
              <w:pStyle w:val="TableText"/>
              <w:rPr>
                <w:rFonts w:cs="David"/>
              </w:rPr>
            </w:pPr>
          </w:p>
        </w:tc>
        <w:tc>
          <w:tcPr>
            <w:tcW w:w="624" w:type="dxa"/>
            <w:tcBorders>
              <w:top w:val="nil"/>
              <w:left w:val="nil"/>
              <w:bottom w:val="nil"/>
              <w:right w:val="nil"/>
            </w:tcBorders>
          </w:tcPr>
          <w:p w:rsidR="003D414D" w:rsidRDefault="003D414D" w:rsidP="00E86C0C">
            <w:pPr>
              <w:pStyle w:val="TableText"/>
              <w:rPr>
                <w:rFonts w:cs="David"/>
              </w:rPr>
            </w:pPr>
          </w:p>
        </w:tc>
        <w:tc>
          <w:tcPr>
            <w:tcW w:w="624" w:type="dxa"/>
            <w:tcBorders>
              <w:top w:val="nil"/>
              <w:left w:val="nil"/>
              <w:bottom w:val="nil"/>
              <w:right w:val="nil"/>
            </w:tcBorders>
          </w:tcPr>
          <w:p w:rsidR="003D414D" w:rsidRDefault="003D414D" w:rsidP="00E86C0C">
            <w:pPr>
              <w:pStyle w:val="TableText"/>
              <w:rPr>
                <w:rFonts w:cs="David"/>
              </w:rPr>
            </w:pPr>
          </w:p>
        </w:tc>
        <w:tc>
          <w:tcPr>
            <w:tcW w:w="624" w:type="dxa"/>
            <w:gridSpan w:val="2"/>
            <w:tcBorders>
              <w:top w:val="nil"/>
              <w:left w:val="nil"/>
              <w:bottom w:val="nil"/>
              <w:right w:val="nil"/>
            </w:tcBorders>
          </w:tcPr>
          <w:p w:rsidR="003D414D" w:rsidRDefault="003D414D" w:rsidP="00E86C0C">
            <w:pPr>
              <w:pStyle w:val="TableText"/>
              <w:rPr>
                <w:rFonts w:cs="David"/>
              </w:rPr>
            </w:pPr>
          </w:p>
        </w:tc>
        <w:tc>
          <w:tcPr>
            <w:tcW w:w="4650" w:type="dxa"/>
            <w:tcBorders>
              <w:top w:val="nil"/>
              <w:left w:val="nil"/>
              <w:bottom w:val="nil"/>
              <w:right w:val="nil"/>
            </w:tcBorders>
          </w:tcPr>
          <w:p w:rsidR="003D414D" w:rsidRDefault="003D414D" w:rsidP="00E86C0C">
            <w:pPr>
              <w:pStyle w:val="TableBlockOutdent"/>
              <w:rPr>
                <w:rFonts w:cs="David"/>
                <w:sz w:val="26"/>
                <w:rtl/>
              </w:rPr>
            </w:pPr>
            <w:r>
              <w:rPr>
                <w:rFonts w:cs="David"/>
                <w:sz w:val="26"/>
                <w:rtl/>
              </w:rPr>
              <w:t>"פגיעה" – נזק ממשי, לרבות חשש רציני לנזק ממשי, לגופו של אדם, לרכושו, לשמו הטוב, לכבודו או לפרטיותו;</w:t>
            </w:r>
          </w:p>
        </w:tc>
      </w:tr>
      <w:tr w:rsidR="003D414D" w:rsidTr="00E86C0C">
        <w:trPr>
          <w:cantSplit/>
          <w:trHeight w:val="60"/>
        </w:trPr>
        <w:tc>
          <w:tcPr>
            <w:tcW w:w="1871" w:type="dxa"/>
            <w:tcBorders>
              <w:top w:val="nil"/>
              <w:left w:val="nil"/>
              <w:bottom w:val="nil"/>
              <w:right w:val="nil"/>
            </w:tcBorders>
          </w:tcPr>
          <w:p w:rsidR="003D414D" w:rsidRDefault="003D414D" w:rsidP="00E86C0C">
            <w:pPr>
              <w:pStyle w:val="TableSideHeading"/>
              <w:rPr>
                <w:rFonts w:cs="David"/>
              </w:rPr>
            </w:pPr>
          </w:p>
        </w:tc>
        <w:tc>
          <w:tcPr>
            <w:tcW w:w="624" w:type="dxa"/>
            <w:tcBorders>
              <w:top w:val="nil"/>
              <w:left w:val="nil"/>
              <w:bottom w:val="nil"/>
              <w:right w:val="nil"/>
            </w:tcBorders>
          </w:tcPr>
          <w:p w:rsidR="003D414D" w:rsidRDefault="003D414D" w:rsidP="00E86C0C">
            <w:pPr>
              <w:pStyle w:val="TableText"/>
              <w:rPr>
                <w:rFonts w:cs="David"/>
              </w:rPr>
            </w:pPr>
          </w:p>
        </w:tc>
        <w:tc>
          <w:tcPr>
            <w:tcW w:w="624" w:type="dxa"/>
            <w:tcBorders>
              <w:top w:val="nil"/>
              <w:left w:val="nil"/>
              <w:bottom w:val="nil"/>
              <w:right w:val="nil"/>
            </w:tcBorders>
          </w:tcPr>
          <w:p w:rsidR="003D414D" w:rsidRDefault="003D414D" w:rsidP="00E86C0C">
            <w:pPr>
              <w:pStyle w:val="TableText"/>
              <w:rPr>
                <w:rFonts w:cs="David"/>
              </w:rPr>
            </w:pPr>
          </w:p>
        </w:tc>
        <w:tc>
          <w:tcPr>
            <w:tcW w:w="624" w:type="dxa"/>
            <w:tcBorders>
              <w:top w:val="nil"/>
              <w:left w:val="nil"/>
              <w:bottom w:val="nil"/>
              <w:right w:val="nil"/>
            </w:tcBorders>
          </w:tcPr>
          <w:p w:rsidR="003D414D" w:rsidRDefault="003D414D" w:rsidP="00E86C0C">
            <w:pPr>
              <w:pStyle w:val="TableText"/>
              <w:rPr>
                <w:rFonts w:cs="David"/>
              </w:rPr>
            </w:pPr>
          </w:p>
        </w:tc>
        <w:tc>
          <w:tcPr>
            <w:tcW w:w="624" w:type="dxa"/>
            <w:tcBorders>
              <w:top w:val="nil"/>
              <w:left w:val="nil"/>
              <w:bottom w:val="nil"/>
              <w:right w:val="nil"/>
            </w:tcBorders>
          </w:tcPr>
          <w:p w:rsidR="003D414D" w:rsidRDefault="003D414D" w:rsidP="00E86C0C">
            <w:pPr>
              <w:pStyle w:val="TableText"/>
              <w:rPr>
                <w:rFonts w:cs="David"/>
              </w:rPr>
            </w:pPr>
          </w:p>
        </w:tc>
        <w:tc>
          <w:tcPr>
            <w:tcW w:w="624" w:type="dxa"/>
            <w:gridSpan w:val="2"/>
            <w:tcBorders>
              <w:top w:val="nil"/>
              <w:left w:val="nil"/>
              <w:bottom w:val="nil"/>
              <w:right w:val="nil"/>
            </w:tcBorders>
          </w:tcPr>
          <w:p w:rsidR="003D414D" w:rsidRDefault="003D414D" w:rsidP="00E86C0C">
            <w:pPr>
              <w:pStyle w:val="TableText"/>
              <w:rPr>
                <w:rFonts w:cs="David"/>
              </w:rPr>
            </w:pPr>
          </w:p>
        </w:tc>
        <w:tc>
          <w:tcPr>
            <w:tcW w:w="4650" w:type="dxa"/>
            <w:tcBorders>
              <w:top w:val="nil"/>
              <w:left w:val="nil"/>
              <w:bottom w:val="nil"/>
              <w:right w:val="nil"/>
            </w:tcBorders>
          </w:tcPr>
          <w:p w:rsidR="003D414D" w:rsidRDefault="003D414D" w:rsidP="00E86C0C">
            <w:pPr>
              <w:pStyle w:val="TableBlockOutdent"/>
              <w:rPr>
                <w:rFonts w:cs="David"/>
                <w:sz w:val="26"/>
                <w:rtl/>
              </w:rPr>
            </w:pPr>
            <w:r>
              <w:rPr>
                <w:rFonts w:cs="David"/>
                <w:sz w:val="26"/>
                <w:rtl/>
              </w:rPr>
              <w:t>"תגובה" – הכחשה, תיקון או הבהרה של פרט לא נכון, מטעה או לא מדויק, או של דברים שהוצאו מהקשרם;</w:t>
            </w:r>
          </w:p>
        </w:tc>
      </w:tr>
      <w:tr w:rsidR="003D414D" w:rsidTr="00E86C0C">
        <w:trPr>
          <w:cantSplit/>
          <w:trHeight w:val="60"/>
        </w:trPr>
        <w:tc>
          <w:tcPr>
            <w:tcW w:w="1871" w:type="dxa"/>
            <w:tcBorders>
              <w:top w:val="nil"/>
              <w:left w:val="nil"/>
              <w:bottom w:val="nil"/>
              <w:right w:val="nil"/>
            </w:tcBorders>
          </w:tcPr>
          <w:p w:rsidR="003D414D" w:rsidRDefault="003D414D" w:rsidP="00E86C0C">
            <w:pPr>
              <w:pStyle w:val="TableSideHeading"/>
              <w:rPr>
                <w:rFonts w:cs="David"/>
              </w:rPr>
            </w:pPr>
          </w:p>
        </w:tc>
        <w:tc>
          <w:tcPr>
            <w:tcW w:w="624" w:type="dxa"/>
            <w:tcBorders>
              <w:top w:val="nil"/>
              <w:left w:val="nil"/>
              <w:bottom w:val="nil"/>
              <w:right w:val="nil"/>
            </w:tcBorders>
          </w:tcPr>
          <w:p w:rsidR="003D414D" w:rsidRDefault="003D414D" w:rsidP="00E86C0C">
            <w:pPr>
              <w:pStyle w:val="TableText"/>
              <w:rPr>
                <w:rFonts w:cs="David"/>
              </w:rPr>
            </w:pPr>
          </w:p>
        </w:tc>
        <w:tc>
          <w:tcPr>
            <w:tcW w:w="624" w:type="dxa"/>
            <w:tcBorders>
              <w:top w:val="nil"/>
              <w:left w:val="nil"/>
              <w:bottom w:val="nil"/>
              <w:right w:val="nil"/>
            </w:tcBorders>
          </w:tcPr>
          <w:p w:rsidR="003D414D" w:rsidRDefault="003D414D" w:rsidP="00E86C0C">
            <w:pPr>
              <w:pStyle w:val="TableText"/>
              <w:rPr>
                <w:rFonts w:cs="David"/>
              </w:rPr>
            </w:pPr>
          </w:p>
        </w:tc>
        <w:tc>
          <w:tcPr>
            <w:tcW w:w="624" w:type="dxa"/>
            <w:tcBorders>
              <w:top w:val="nil"/>
              <w:left w:val="nil"/>
              <w:bottom w:val="nil"/>
              <w:right w:val="nil"/>
            </w:tcBorders>
          </w:tcPr>
          <w:p w:rsidR="003D414D" w:rsidRDefault="003D414D" w:rsidP="00E86C0C">
            <w:pPr>
              <w:pStyle w:val="TableText"/>
              <w:rPr>
                <w:rFonts w:cs="David"/>
              </w:rPr>
            </w:pPr>
          </w:p>
        </w:tc>
        <w:tc>
          <w:tcPr>
            <w:tcW w:w="624" w:type="dxa"/>
            <w:tcBorders>
              <w:top w:val="nil"/>
              <w:left w:val="nil"/>
              <w:bottom w:val="nil"/>
              <w:right w:val="nil"/>
            </w:tcBorders>
          </w:tcPr>
          <w:p w:rsidR="003D414D" w:rsidRDefault="003D414D" w:rsidP="00E86C0C">
            <w:pPr>
              <w:pStyle w:val="TableText"/>
              <w:rPr>
                <w:rFonts w:cs="David"/>
              </w:rPr>
            </w:pPr>
          </w:p>
        </w:tc>
        <w:tc>
          <w:tcPr>
            <w:tcW w:w="624" w:type="dxa"/>
            <w:gridSpan w:val="2"/>
            <w:tcBorders>
              <w:top w:val="nil"/>
              <w:left w:val="nil"/>
              <w:bottom w:val="nil"/>
              <w:right w:val="nil"/>
            </w:tcBorders>
          </w:tcPr>
          <w:p w:rsidR="003D414D" w:rsidRDefault="003D414D" w:rsidP="00E86C0C">
            <w:pPr>
              <w:pStyle w:val="TableText"/>
              <w:rPr>
                <w:rFonts w:cs="David"/>
              </w:rPr>
            </w:pPr>
          </w:p>
        </w:tc>
        <w:tc>
          <w:tcPr>
            <w:tcW w:w="4650" w:type="dxa"/>
            <w:tcBorders>
              <w:top w:val="nil"/>
              <w:left w:val="nil"/>
              <w:bottom w:val="nil"/>
              <w:right w:val="nil"/>
            </w:tcBorders>
          </w:tcPr>
          <w:p w:rsidR="003D414D" w:rsidRDefault="003D414D" w:rsidP="00E86C0C">
            <w:pPr>
              <w:pStyle w:val="TableBlockOutdent"/>
              <w:rPr>
                <w:rFonts w:cs="David"/>
                <w:sz w:val="26"/>
                <w:rtl/>
              </w:rPr>
            </w:pPr>
            <w:r>
              <w:rPr>
                <w:rFonts w:cs="David"/>
                <w:sz w:val="26"/>
                <w:rtl/>
              </w:rPr>
              <w:t>"עורך עיתון" – לרבות עורך בפועל.</w:t>
            </w:r>
          </w:p>
        </w:tc>
      </w:tr>
      <w:tr w:rsidR="003D414D" w:rsidTr="00E86C0C">
        <w:trPr>
          <w:cantSplit/>
          <w:trHeight w:val="60"/>
        </w:trPr>
        <w:tc>
          <w:tcPr>
            <w:tcW w:w="1871" w:type="dxa"/>
            <w:tcBorders>
              <w:top w:val="nil"/>
              <w:left w:val="nil"/>
              <w:bottom w:val="nil"/>
              <w:right w:val="nil"/>
            </w:tcBorders>
          </w:tcPr>
          <w:p w:rsidR="003D414D" w:rsidRDefault="003D414D" w:rsidP="00E86C0C">
            <w:pPr>
              <w:pStyle w:val="TableSideHeading"/>
              <w:rPr>
                <w:rFonts w:cs="David"/>
              </w:rPr>
            </w:pPr>
          </w:p>
        </w:tc>
        <w:tc>
          <w:tcPr>
            <w:tcW w:w="624" w:type="dxa"/>
            <w:tcBorders>
              <w:top w:val="nil"/>
              <w:left w:val="nil"/>
              <w:bottom w:val="nil"/>
              <w:right w:val="nil"/>
            </w:tcBorders>
          </w:tcPr>
          <w:p w:rsidR="003D414D" w:rsidRDefault="003D414D" w:rsidP="00E86C0C">
            <w:pPr>
              <w:pStyle w:val="TableText"/>
              <w:rPr>
                <w:rFonts w:cs="David"/>
              </w:rPr>
            </w:pPr>
          </w:p>
        </w:tc>
        <w:tc>
          <w:tcPr>
            <w:tcW w:w="624" w:type="dxa"/>
            <w:tcBorders>
              <w:top w:val="nil"/>
              <w:left w:val="nil"/>
              <w:bottom w:val="nil"/>
              <w:right w:val="nil"/>
            </w:tcBorders>
          </w:tcPr>
          <w:p w:rsidR="003D414D" w:rsidRDefault="003D414D" w:rsidP="00E86C0C">
            <w:pPr>
              <w:pStyle w:val="TableText"/>
              <w:rPr>
                <w:rFonts w:cs="David"/>
              </w:rPr>
            </w:pPr>
          </w:p>
        </w:tc>
        <w:tc>
          <w:tcPr>
            <w:tcW w:w="624" w:type="dxa"/>
            <w:tcBorders>
              <w:top w:val="nil"/>
              <w:left w:val="nil"/>
              <w:bottom w:val="nil"/>
              <w:right w:val="nil"/>
            </w:tcBorders>
          </w:tcPr>
          <w:p w:rsidR="003D414D" w:rsidRDefault="003D414D" w:rsidP="00E86C0C">
            <w:pPr>
              <w:pStyle w:val="TableText"/>
              <w:rPr>
                <w:rFonts w:cs="David"/>
              </w:rPr>
            </w:pPr>
          </w:p>
        </w:tc>
        <w:tc>
          <w:tcPr>
            <w:tcW w:w="651" w:type="dxa"/>
            <w:gridSpan w:val="2"/>
            <w:tcBorders>
              <w:top w:val="nil"/>
              <w:left w:val="nil"/>
              <w:bottom w:val="nil"/>
              <w:right w:val="nil"/>
            </w:tcBorders>
          </w:tcPr>
          <w:p w:rsidR="003D414D" w:rsidRDefault="003D414D" w:rsidP="00E86C0C">
            <w:pPr>
              <w:pStyle w:val="TableText"/>
              <w:rPr>
                <w:rFonts w:cs="David"/>
              </w:rPr>
            </w:pPr>
          </w:p>
        </w:tc>
        <w:tc>
          <w:tcPr>
            <w:tcW w:w="597" w:type="dxa"/>
            <w:tcBorders>
              <w:top w:val="nil"/>
              <w:left w:val="nil"/>
              <w:bottom w:val="nil"/>
              <w:right w:val="nil"/>
            </w:tcBorders>
          </w:tcPr>
          <w:p w:rsidR="003D414D" w:rsidRDefault="003D414D" w:rsidP="00E86C0C">
            <w:pPr>
              <w:pStyle w:val="TableText"/>
              <w:rPr>
                <w:rFonts w:cs="David"/>
              </w:rPr>
            </w:pPr>
          </w:p>
        </w:tc>
        <w:tc>
          <w:tcPr>
            <w:tcW w:w="4650" w:type="dxa"/>
            <w:tcBorders>
              <w:top w:val="nil"/>
              <w:left w:val="nil"/>
              <w:bottom w:val="nil"/>
              <w:right w:val="nil"/>
            </w:tcBorders>
          </w:tcPr>
          <w:p w:rsidR="003D414D" w:rsidRDefault="003D414D" w:rsidP="00E86C0C">
            <w:pPr>
              <w:pStyle w:val="TableBlock"/>
              <w:rPr>
                <w:rFonts w:cs="David"/>
                <w:sz w:val="26"/>
              </w:rPr>
            </w:pPr>
            <w:r>
              <w:rPr>
                <w:rFonts w:cs="David"/>
                <w:sz w:val="26"/>
                <w:rtl/>
              </w:rPr>
              <w:t>(ב)</w:t>
            </w:r>
            <w:r>
              <w:rPr>
                <w:rFonts w:cs="David"/>
                <w:sz w:val="26"/>
                <w:rtl/>
              </w:rPr>
              <w:tab/>
              <w:t>עורך עיתון העומד לפרסם ידיעה או כתבה אשר יש בה לכאורה משום פגיעה באדם, ינקוט צעדים סבירים כדי לברר ולקבל את תגובתו של אותו אדם זמן סביר לפני הפרסום, ויקצה, במסגרת הפרסום, מקום סביר, בנסיבות העניין, לתגובתו ולהצגת עמדתו בנושא הפגיעה.</w:t>
            </w:r>
            <w:r>
              <w:rPr>
                <w:rFonts w:cs="David"/>
                <w:sz w:val="26"/>
                <w:rtl/>
              </w:rPr>
              <w:tab/>
            </w:r>
          </w:p>
        </w:tc>
      </w:tr>
      <w:tr w:rsidR="003D414D" w:rsidTr="00E86C0C">
        <w:trPr>
          <w:cantSplit/>
          <w:trHeight w:val="60"/>
        </w:trPr>
        <w:tc>
          <w:tcPr>
            <w:tcW w:w="1871" w:type="dxa"/>
            <w:tcBorders>
              <w:top w:val="nil"/>
              <w:left w:val="nil"/>
              <w:bottom w:val="nil"/>
              <w:right w:val="nil"/>
            </w:tcBorders>
          </w:tcPr>
          <w:p w:rsidR="003D414D" w:rsidRDefault="003D414D" w:rsidP="00E86C0C">
            <w:pPr>
              <w:pStyle w:val="TableSideHeading"/>
              <w:rPr>
                <w:rFonts w:cs="David"/>
              </w:rPr>
            </w:pPr>
          </w:p>
        </w:tc>
        <w:tc>
          <w:tcPr>
            <w:tcW w:w="624" w:type="dxa"/>
            <w:tcBorders>
              <w:top w:val="nil"/>
              <w:left w:val="nil"/>
              <w:bottom w:val="nil"/>
              <w:right w:val="nil"/>
            </w:tcBorders>
          </w:tcPr>
          <w:p w:rsidR="003D414D" w:rsidRDefault="003D414D" w:rsidP="00E86C0C">
            <w:pPr>
              <w:pStyle w:val="TableText"/>
              <w:rPr>
                <w:rFonts w:cs="David"/>
              </w:rPr>
            </w:pPr>
          </w:p>
        </w:tc>
        <w:tc>
          <w:tcPr>
            <w:tcW w:w="624" w:type="dxa"/>
            <w:tcBorders>
              <w:top w:val="nil"/>
              <w:left w:val="nil"/>
              <w:bottom w:val="nil"/>
              <w:right w:val="nil"/>
            </w:tcBorders>
          </w:tcPr>
          <w:p w:rsidR="003D414D" w:rsidRDefault="003D414D" w:rsidP="00E86C0C">
            <w:pPr>
              <w:pStyle w:val="TableText"/>
              <w:rPr>
                <w:rFonts w:cs="David"/>
              </w:rPr>
            </w:pPr>
          </w:p>
        </w:tc>
        <w:tc>
          <w:tcPr>
            <w:tcW w:w="624" w:type="dxa"/>
            <w:tcBorders>
              <w:top w:val="nil"/>
              <w:left w:val="nil"/>
              <w:bottom w:val="nil"/>
              <w:right w:val="nil"/>
            </w:tcBorders>
          </w:tcPr>
          <w:p w:rsidR="003D414D" w:rsidRDefault="003D414D" w:rsidP="00E86C0C">
            <w:pPr>
              <w:pStyle w:val="TableText"/>
              <w:rPr>
                <w:rFonts w:cs="David"/>
              </w:rPr>
            </w:pPr>
          </w:p>
        </w:tc>
        <w:tc>
          <w:tcPr>
            <w:tcW w:w="651" w:type="dxa"/>
            <w:gridSpan w:val="2"/>
            <w:tcBorders>
              <w:top w:val="nil"/>
              <w:left w:val="nil"/>
              <w:bottom w:val="nil"/>
              <w:right w:val="nil"/>
            </w:tcBorders>
          </w:tcPr>
          <w:p w:rsidR="003D414D" w:rsidRDefault="003D414D" w:rsidP="00E86C0C">
            <w:pPr>
              <w:pStyle w:val="TableText"/>
              <w:rPr>
                <w:rFonts w:cs="David"/>
              </w:rPr>
            </w:pPr>
          </w:p>
        </w:tc>
        <w:tc>
          <w:tcPr>
            <w:tcW w:w="597" w:type="dxa"/>
            <w:tcBorders>
              <w:top w:val="nil"/>
              <w:left w:val="nil"/>
              <w:bottom w:val="nil"/>
              <w:right w:val="nil"/>
            </w:tcBorders>
          </w:tcPr>
          <w:p w:rsidR="003D414D" w:rsidRDefault="003D414D" w:rsidP="00E86C0C">
            <w:pPr>
              <w:pStyle w:val="TableText"/>
              <w:rPr>
                <w:rFonts w:cs="David"/>
              </w:rPr>
            </w:pPr>
          </w:p>
        </w:tc>
        <w:tc>
          <w:tcPr>
            <w:tcW w:w="4650" w:type="dxa"/>
            <w:tcBorders>
              <w:top w:val="nil"/>
              <w:left w:val="nil"/>
              <w:bottom w:val="nil"/>
              <w:right w:val="nil"/>
            </w:tcBorders>
          </w:tcPr>
          <w:p w:rsidR="003D414D" w:rsidRDefault="003D414D" w:rsidP="00E86C0C">
            <w:pPr>
              <w:pStyle w:val="TableBlock"/>
              <w:rPr>
                <w:rFonts w:cs="David"/>
                <w:sz w:val="26"/>
              </w:rPr>
            </w:pPr>
            <w:r>
              <w:rPr>
                <w:rFonts w:cs="David"/>
                <w:sz w:val="26"/>
                <w:rtl/>
              </w:rPr>
              <w:t>(ג)</w:t>
            </w:r>
            <w:r>
              <w:rPr>
                <w:rFonts w:cs="David"/>
                <w:sz w:val="26"/>
                <w:rtl/>
              </w:rPr>
              <w:tab/>
              <w:t xml:space="preserve">לא עלה בידו של עורך העיתון לפרסם תגובה כאמור בסעיף קטן (ב) על אף שנקט באמצעים סבירים, רשאי הנפגע למסור לעורך העיתון את תגובתו, תוך זמן סביר ממועד הפרסום, ועורך העיתון יפרסמה.  </w:t>
            </w:r>
            <w:r>
              <w:rPr>
                <w:rFonts w:cs="David"/>
                <w:sz w:val="26"/>
                <w:rtl/>
              </w:rPr>
              <w:tab/>
            </w:r>
          </w:p>
        </w:tc>
      </w:tr>
      <w:tr w:rsidR="003D414D" w:rsidTr="00E86C0C">
        <w:trPr>
          <w:cantSplit/>
          <w:trHeight w:val="60"/>
        </w:trPr>
        <w:tc>
          <w:tcPr>
            <w:tcW w:w="1871" w:type="dxa"/>
            <w:tcBorders>
              <w:top w:val="nil"/>
              <w:left w:val="nil"/>
              <w:bottom w:val="nil"/>
              <w:right w:val="nil"/>
            </w:tcBorders>
          </w:tcPr>
          <w:p w:rsidR="003D414D" w:rsidRDefault="003D414D" w:rsidP="00E86C0C">
            <w:pPr>
              <w:pStyle w:val="TableSideHeading"/>
              <w:rPr>
                <w:rFonts w:cs="David"/>
              </w:rPr>
            </w:pPr>
          </w:p>
        </w:tc>
        <w:tc>
          <w:tcPr>
            <w:tcW w:w="624" w:type="dxa"/>
            <w:tcBorders>
              <w:top w:val="nil"/>
              <w:left w:val="nil"/>
              <w:bottom w:val="nil"/>
              <w:right w:val="nil"/>
            </w:tcBorders>
          </w:tcPr>
          <w:p w:rsidR="003D414D" w:rsidRDefault="003D414D" w:rsidP="00E86C0C">
            <w:pPr>
              <w:pStyle w:val="TableText"/>
              <w:rPr>
                <w:rFonts w:cs="David"/>
              </w:rPr>
            </w:pPr>
          </w:p>
        </w:tc>
        <w:tc>
          <w:tcPr>
            <w:tcW w:w="624" w:type="dxa"/>
            <w:tcBorders>
              <w:top w:val="nil"/>
              <w:left w:val="nil"/>
              <w:bottom w:val="nil"/>
              <w:right w:val="nil"/>
            </w:tcBorders>
          </w:tcPr>
          <w:p w:rsidR="003D414D" w:rsidRDefault="003D414D" w:rsidP="00E86C0C">
            <w:pPr>
              <w:pStyle w:val="TableText"/>
              <w:rPr>
                <w:rFonts w:cs="David"/>
              </w:rPr>
            </w:pPr>
          </w:p>
        </w:tc>
        <w:tc>
          <w:tcPr>
            <w:tcW w:w="624" w:type="dxa"/>
            <w:tcBorders>
              <w:top w:val="nil"/>
              <w:left w:val="nil"/>
              <w:bottom w:val="nil"/>
              <w:right w:val="nil"/>
            </w:tcBorders>
          </w:tcPr>
          <w:p w:rsidR="003D414D" w:rsidRDefault="003D414D" w:rsidP="00E86C0C">
            <w:pPr>
              <w:pStyle w:val="TableText"/>
              <w:rPr>
                <w:rFonts w:cs="David"/>
              </w:rPr>
            </w:pPr>
          </w:p>
        </w:tc>
        <w:tc>
          <w:tcPr>
            <w:tcW w:w="651" w:type="dxa"/>
            <w:gridSpan w:val="2"/>
            <w:tcBorders>
              <w:top w:val="nil"/>
              <w:left w:val="nil"/>
              <w:bottom w:val="nil"/>
              <w:right w:val="nil"/>
            </w:tcBorders>
          </w:tcPr>
          <w:p w:rsidR="003D414D" w:rsidRDefault="003D414D" w:rsidP="00E86C0C">
            <w:pPr>
              <w:pStyle w:val="TableText"/>
              <w:rPr>
                <w:rFonts w:cs="David"/>
              </w:rPr>
            </w:pPr>
          </w:p>
        </w:tc>
        <w:tc>
          <w:tcPr>
            <w:tcW w:w="597" w:type="dxa"/>
            <w:tcBorders>
              <w:top w:val="nil"/>
              <w:left w:val="nil"/>
              <w:bottom w:val="nil"/>
              <w:right w:val="nil"/>
            </w:tcBorders>
          </w:tcPr>
          <w:p w:rsidR="003D414D" w:rsidRDefault="003D414D" w:rsidP="00E86C0C">
            <w:pPr>
              <w:pStyle w:val="TableText"/>
              <w:rPr>
                <w:rFonts w:cs="David"/>
              </w:rPr>
            </w:pPr>
          </w:p>
        </w:tc>
        <w:tc>
          <w:tcPr>
            <w:tcW w:w="4650" w:type="dxa"/>
            <w:tcBorders>
              <w:top w:val="nil"/>
              <w:left w:val="nil"/>
              <w:bottom w:val="nil"/>
              <w:right w:val="nil"/>
            </w:tcBorders>
          </w:tcPr>
          <w:p w:rsidR="003D414D" w:rsidRDefault="003D414D" w:rsidP="00E86C0C">
            <w:pPr>
              <w:pStyle w:val="TableBlock"/>
              <w:rPr>
                <w:rFonts w:cs="David"/>
                <w:sz w:val="26"/>
              </w:rPr>
            </w:pPr>
            <w:r>
              <w:rPr>
                <w:rFonts w:cs="David"/>
                <w:sz w:val="26"/>
                <w:rtl/>
              </w:rPr>
              <w:t>(ד)</w:t>
            </w:r>
            <w:r>
              <w:rPr>
                <w:rFonts w:cs="David"/>
                <w:sz w:val="26"/>
                <w:rtl/>
              </w:rPr>
              <w:tab/>
              <w:t>תגובה תנוסח בקצרה, בתמציתיות ובאופן ענייני; לא נוסחה תגובה באופן האמור, רשאי עורך העיתון להחזירה לנפגע כדי שינסחה באופן האמור או לפרסמה באורח מקוצר ומתומצת ובלבד שלא יהיה בכך כדי לשנות את תוכנה; עורך העיתון יפרסם את התגובה בידיעה או בכתבה הקרובה ביותר האפשרית בנסיבות העניין, במועד ובהבלטה דומים ככל האפשר לאלו שבהם פורסמה הידיעה או הכתבה הפוגעת.</w:t>
            </w:r>
            <w:r>
              <w:rPr>
                <w:rFonts w:cs="David"/>
                <w:sz w:val="26"/>
                <w:rtl/>
              </w:rPr>
              <w:tab/>
            </w:r>
          </w:p>
        </w:tc>
      </w:tr>
      <w:tr w:rsidR="003D414D" w:rsidTr="00E86C0C">
        <w:trPr>
          <w:cantSplit/>
          <w:trHeight w:val="60"/>
        </w:trPr>
        <w:tc>
          <w:tcPr>
            <w:tcW w:w="1871" w:type="dxa"/>
            <w:tcBorders>
              <w:top w:val="nil"/>
              <w:left w:val="nil"/>
              <w:bottom w:val="nil"/>
              <w:right w:val="nil"/>
            </w:tcBorders>
          </w:tcPr>
          <w:p w:rsidR="003D414D" w:rsidRDefault="003D414D" w:rsidP="00E86C0C">
            <w:pPr>
              <w:pStyle w:val="TableSideHeading"/>
              <w:rPr>
                <w:rFonts w:cs="David"/>
              </w:rPr>
            </w:pPr>
          </w:p>
        </w:tc>
        <w:tc>
          <w:tcPr>
            <w:tcW w:w="624" w:type="dxa"/>
            <w:tcBorders>
              <w:top w:val="nil"/>
              <w:left w:val="nil"/>
              <w:bottom w:val="nil"/>
              <w:right w:val="nil"/>
            </w:tcBorders>
          </w:tcPr>
          <w:p w:rsidR="003D414D" w:rsidRDefault="003D414D" w:rsidP="00E86C0C">
            <w:pPr>
              <w:pStyle w:val="TableText"/>
              <w:rPr>
                <w:rFonts w:cs="David"/>
              </w:rPr>
            </w:pPr>
          </w:p>
        </w:tc>
        <w:tc>
          <w:tcPr>
            <w:tcW w:w="624" w:type="dxa"/>
            <w:tcBorders>
              <w:top w:val="nil"/>
              <w:left w:val="nil"/>
              <w:bottom w:val="nil"/>
              <w:right w:val="nil"/>
            </w:tcBorders>
          </w:tcPr>
          <w:p w:rsidR="003D414D" w:rsidRDefault="003D414D" w:rsidP="00E86C0C">
            <w:pPr>
              <w:pStyle w:val="TableText"/>
              <w:rPr>
                <w:rFonts w:cs="David"/>
              </w:rPr>
            </w:pPr>
          </w:p>
        </w:tc>
        <w:tc>
          <w:tcPr>
            <w:tcW w:w="624" w:type="dxa"/>
            <w:tcBorders>
              <w:top w:val="nil"/>
              <w:left w:val="nil"/>
              <w:bottom w:val="nil"/>
              <w:right w:val="nil"/>
            </w:tcBorders>
          </w:tcPr>
          <w:p w:rsidR="003D414D" w:rsidRDefault="003D414D" w:rsidP="00E86C0C">
            <w:pPr>
              <w:pStyle w:val="TableText"/>
              <w:rPr>
                <w:rFonts w:cs="David"/>
              </w:rPr>
            </w:pPr>
          </w:p>
        </w:tc>
        <w:tc>
          <w:tcPr>
            <w:tcW w:w="651" w:type="dxa"/>
            <w:gridSpan w:val="2"/>
            <w:tcBorders>
              <w:top w:val="nil"/>
              <w:left w:val="nil"/>
              <w:bottom w:val="nil"/>
              <w:right w:val="nil"/>
            </w:tcBorders>
          </w:tcPr>
          <w:p w:rsidR="003D414D" w:rsidRDefault="003D414D" w:rsidP="00E86C0C">
            <w:pPr>
              <w:pStyle w:val="TableText"/>
              <w:rPr>
                <w:rFonts w:cs="David"/>
              </w:rPr>
            </w:pPr>
          </w:p>
        </w:tc>
        <w:tc>
          <w:tcPr>
            <w:tcW w:w="597" w:type="dxa"/>
            <w:tcBorders>
              <w:top w:val="nil"/>
              <w:left w:val="nil"/>
              <w:bottom w:val="nil"/>
              <w:right w:val="nil"/>
            </w:tcBorders>
          </w:tcPr>
          <w:p w:rsidR="003D414D" w:rsidRDefault="003D414D" w:rsidP="00E86C0C">
            <w:pPr>
              <w:pStyle w:val="TableText"/>
              <w:rPr>
                <w:rFonts w:cs="David"/>
              </w:rPr>
            </w:pPr>
          </w:p>
        </w:tc>
        <w:tc>
          <w:tcPr>
            <w:tcW w:w="4650" w:type="dxa"/>
            <w:tcBorders>
              <w:top w:val="nil"/>
              <w:left w:val="nil"/>
              <w:bottom w:val="nil"/>
              <w:right w:val="nil"/>
            </w:tcBorders>
          </w:tcPr>
          <w:p w:rsidR="003D414D" w:rsidRDefault="003D414D" w:rsidP="00E86C0C">
            <w:pPr>
              <w:pStyle w:val="TableBlock"/>
              <w:rPr>
                <w:rFonts w:cs="David"/>
                <w:sz w:val="26"/>
              </w:rPr>
            </w:pPr>
            <w:r>
              <w:rPr>
                <w:rFonts w:cs="David"/>
                <w:sz w:val="26"/>
                <w:rtl/>
              </w:rPr>
              <w:t>(ה)</w:t>
            </w:r>
            <w:r>
              <w:rPr>
                <w:rFonts w:cs="David"/>
                <w:sz w:val="26"/>
                <w:rtl/>
              </w:rPr>
              <w:tab/>
              <w:t xml:space="preserve">עבר עורך עיתון על הוראות סעיף זה, דינו – קנס כאמור בסעיף 61 (א)(1) לחוק העונשין, </w:t>
            </w:r>
            <w:proofErr w:type="spellStart"/>
            <w:r>
              <w:rPr>
                <w:rFonts w:cs="David"/>
                <w:sz w:val="26"/>
                <w:rtl/>
              </w:rPr>
              <w:t>התשל"ז–1977</w:t>
            </w:r>
            <w:proofErr w:type="spellEnd"/>
            <w:r>
              <w:rPr>
                <w:rStyle w:val="a5"/>
                <w:rFonts w:cs="David"/>
                <w:sz w:val="26"/>
                <w:rtl/>
              </w:rPr>
              <w:footnoteReference w:id="2"/>
            </w:r>
            <w:r>
              <w:rPr>
                <w:rFonts w:cs="David"/>
                <w:sz w:val="26"/>
                <w:rtl/>
              </w:rPr>
              <w:t>."</w:t>
            </w:r>
          </w:p>
        </w:tc>
      </w:tr>
    </w:tbl>
    <w:p w:rsidR="003D414D" w:rsidRDefault="003D414D" w:rsidP="003D414D">
      <w:pPr>
        <w:pStyle w:val="HeadDivreiHesber"/>
        <w:spacing w:before="0" w:after="0"/>
        <w:rPr>
          <w:rFonts w:cs="David"/>
          <w:sz w:val="26"/>
          <w:rtl/>
        </w:rPr>
      </w:pPr>
    </w:p>
    <w:p w:rsidR="003D414D" w:rsidRDefault="003D414D" w:rsidP="003D414D">
      <w:pPr>
        <w:pStyle w:val="HeadDivreiHesber"/>
        <w:spacing w:before="0" w:after="0"/>
        <w:rPr>
          <w:rFonts w:cs="David"/>
          <w:sz w:val="26"/>
          <w:rtl/>
        </w:rPr>
      </w:pPr>
      <w:r>
        <w:rPr>
          <w:rFonts w:cs="David"/>
          <w:sz w:val="26"/>
          <w:rtl/>
        </w:rPr>
        <w:t>דברי הסבר</w:t>
      </w:r>
    </w:p>
    <w:p w:rsidR="003D414D" w:rsidRDefault="003D414D" w:rsidP="003D414D">
      <w:pPr>
        <w:pStyle w:val="Hesber"/>
        <w:rPr>
          <w:rFonts w:cs="David"/>
          <w:sz w:val="26"/>
          <w:rtl/>
        </w:rPr>
      </w:pPr>
      <w:r>
        <w:rPr>
          <w:rFonts w:cs="David"/>
          <w:sz w:val="26"/>
          <w:rtl/>
        </w:rPr>
        <w:t xml:space="preserve">מזה שנים מתנהל במדינות רבות שיח אקדמי ופוליטי ער על היבטים שונים של התערבות חקיקתית בתחום התקשורת. ברקע כמה מהדיונים הללו עומדת שאלה מהותית: מהו, בעצם, חופש הביטוי, ויותר מכך – למי הוא שייך. האם על חירות הביטוי, וביטויה המובהק ביותר, חופש העיתונות, להיות מופקדת בהכרח רק בידיהם של </w:t>
      </w:r>
      <w:hyperlink r:id="rId7" w:tgtFrame="_blank" w:tooltip="" w:history="1">
        <w:r>
          <w:rPr>
            <w:rStyle w:val="Hyperlink"/>
            <w:rFonts w:cs="David"/>
            <w:sz w:val="26"/>
            <w:rtl/>
          </w:rPr>
          <w:t>מוציאים לאור ועורכים</w:t>
        </w:r>
      </w:hyperlink>
      <w:r>
        <w:rPr>
          <w:rFonts w:cs="David"/>
          <w:sz w:val="26"/>
          <w:rtl/>
        </w:rPr>
        <w:t xml:space="preserve">, או שגם לגורמים אחרים בציבור יש מניית יסוד בעיקרון הדמוקרטי הזה? מה קורה כאשר חופש הביטוי מתנגש בחירויות יסוד אחרות? והאם למדינה יש סמכות להתערב כאשר נדמה שהתקשורת אינה ממלאה את תפקידה החברתי כראוי? </w:t>
      </w:r>
    </w:p>
    <w:p w:rsidR="003D414D" w:rsidRDefault="003D414D" w:rsidP="003D414D">
      <w:pPr>
        <w:pStyle w:val="Hesber"/>
        <w:rPr>
          <w:rFonts w:cs="David"/>
          <w:sz w:val="26"/>
          <w:rtl/>
        </w:rPr>
      </w:pPr>
      <w:r>
        <w:rPr>
          <w:rFonts w:cs="David"/>
          <w:sz w:val="26"/>
          <w:rtl/>
        </w:rPr>
        <w:t>אחד ההיבטים של חירות הביטוי הוא נגישות לתקשורת בכלל וזכות התגובה בפרט. יוזמי ההצעה סבורים כי חופש הביטוי מחייב להעניק לכל אדם אשר הוכפש בידיעה או בכתבה בעיתון, במה כדי להגיב על הפגיעה. נכון להיום, זכות זו מעוגנת בחקיקה רק לגבי שידורי טלוויזיה ורדיו.</w:t>
      </w:r>
    </w:p>
    <w:p w:rsidR="003D414D" w:rsidRDefault="003D414D" w:rsidP="003D414D">
      <w:pPr>
        <w:pStyle w:val="Hesber"/>
        <w:rPr>
          <w:rFonts w:cs="David"/>
          <w:sz w:val="26"/>
          <w:rtl/>
        </w:rPr>
      </w:pPr>
      <w:r>
        <w:rPr>
          <w:rFonts w:cs="David"/>
          <w:sz w:val="26"/>
          <w:rtl/>
        </w:rPr>
        <w:t>בצרפת, עוגנה זכות התגובה בחקיקה כבר בשנת 1822. אז נקבעה החובה להעניק מקום בולט לתגובה לא רק לממשלה, אלא גם לאנשים פשוטים. בשנת 1881 קבע שוב חוק עיתונות צרפתי, כי עיתון חייב להעניק לאזרח זכות תגובה תוך זמן קצר, לא רק כדי לתקן עובדות שגויות שפורסמו עליו, אלא גם להציג עמדה אחרת מזו שפרסם העיתון. נקבע גם היקף התגובה: כגודל הפרסום המקורי – אך לא יותר מ-200 מלה. בתקופת בחירות, שבה יש לפרסום השפעה קריטית על האינטרס הציבורי, חובה לפרסם את התגובה בתוך יממה, ובלבד שהחומר יגיע למערכת לפחות שש שעות לפני סגירת העיתון.</w:t>
      </w:r>
    </w:p>
    <w:p w:rsidR="003D414D" w:rsidRDefault="003D414D" w:rsidP="003D414D">
      <w:pPr>
        <w:pStyle w:val="Hesber"/>
        <w:rPr>
          <w:rFonts w:cs="David"/>
          <w:sz w:val="26"/>
          <w:rtl/>
        </w:rPr>
      </w:pPr>
      <w:r>
        <w:rPr>
          <w:rFonts w:cs="David"/>
          <w:sz w:val="26"/>
          <w:rtl/>
        </w:rPr>
        <w:t xml:space="preserve">גרמניה הדמוקרטית שלאחר מלחמת העולם השנייה בחרה גם היא לשלב בחוק העיתונות של המבורג </w:t>
      </w:r>
      <w:r>
        <w:rPr>
          <w:rFonts w:cs="David"/>
          <w:sz w:val="26"/>
          <w:rtl/>
        </w:rPr>
        <w:lastRenderedPageBreak/>
        <w:t>משנת 1965 את זכות התגובה, בכל הקשור לתיקון עובדות. איננו כופים בכך על עיתון על מה לכתוב, הסבירו מומחי חוק גרמנים, כיוון שמדובר בהתייחסות ספציפית לידיעה מקורית שכבר ראתה אור. גם דנמרק הלכה בדרך זו, והיא מחייבת אמצעי תקשורת להעניק במת תגובה לכל מי שנגרם לו נזק כלכלי או אחר מפרסום ידיעה. בהונגריה מתנהל דיון בשאלה זו, ושופטי בית-המשפט פסלו אמנם הצעת חוק שהועלתה בפרלמנט, אבל קבעו כי בזכות התגובה "יש איזון בין חופש העיתונות ובין הגנת שמו הטוב של האזרח".</w:t>
      </w:r>
    </w:p>
    <w:p w:rsidR="003D414D" w:rsidRDefault="003D414D" w:rsidP="003D414D">
      <w:pPr>
        <w:pStyle w:val="Hesber"/>
        <w:rPr>
          <w:rFonts w:cs="David"/>
          <w:sz w:val="26"/>
          <w:rtl/>
        </w:rPr>
      </w:pPr>
      <w:r>
        <w:rPr>
          <w:rFonts w:cs="David"/>
          <w:sz w:val="26"/>
          <w:rtl/>
        </w:rPr>
        <w:t>כפי שניתן להבין, באירופה הולכת ומתחזקת התפיסה המתירה למדינה להתערב כדי להבטיח שתחת מטריית חופש העיתונות לא ייפגעו אזרחים שאין להם גישה למוקדי הכוח התקשורתיים, ההולכים ומתעצמים עם השנים. מועצת האיחוד-האירופי אף הרחיקה לכת כאשר המליצה ב-2004 שגם נאשמים בעבירות פליליות יקבלו זכות חוקית לקבל במה מיידית להגיב על פרסומים משמיצים שראו אור נגדם.</w:t>
      </w:r>
    </w:p>
    <w:p w:rsidR="003D414D" w:rsidRDefault="003D414D" w:rsidP="003D414D">
      <w:pPr>
        <w:pStyle w:val="Hesber"/>
        <w:rPr>
          <w:rFonts w:cs="David"/>
          <w:sz w:val="26"/>
          <w:rtl/>
        </w:rPr>
      </w:pPr>
      <w:r>
        <w:rPr>
          <w:rFonts w:cs="David"/>
          <w:sz w:val="26"/>
          <w:rtl/>
        </w:rPr>
        <w:t>יוזמי הצעת החוק סבורים כי בישראל, כמו במדינות אירופה, זכאי הציבור במקרים מסוימים לסיוע ממשלתי או פרלמנטארי כדי להבטיח שהתקשורת תמלא את תפקידה החברתי, תהיה פתוחה לכל חלקי החברה ולא תרמוס את האזרח הקטן, את פרטיותו ואת שמו הטוב. לא תמיד ראוי להתייחס לשלטון כגורם שרק מגביל את חופש העיתונות ופוגע בחירות הביטוי. הוא יכול לשמש גם גורם שיעצים חירות זו ולעיתים מתעורר הצורך, לפיו המדינה צריכה להגן על התקשורת מפני עצמה.</w:t>
      </w:r>
    </w:p>
    <w:p w:rsidR="003D414D" w:rsidRDefault="003D414D" w:rsidP="003D414D">
      <w:pPr>
        <w:pStyle w:val="Hesber"/>
        <w:rPr>
          <w:rFonts w:cs="David"/>
          <w:sz w:val="26"/>
          <w:rtl/>
        </w:rPr>
      </w:pPr>
      <w:r>
        <w:rPr>
          <w:rFonts w:cs="David"/>
          <w:sz w:val="26"/>
          <w:rtl/>
        </w:rPr>
        <w:t>יוזמי הצעת החוק ערים לעובדה כי הנטייה הטבעית, החשדנית, של אנשי תקשורת היא לדחות מיד כל חקיקה בתחום העיתונות ולהזהיר מפני המדרון החלקלק שהדמוקרטיה עלולה להידרדר בו בשל כל התערבות שלטונית בחופש העיתונות. אך יחד עם זאת,  ישנו צורך, לעיתים, להבטיח כי השימוש בזכויות היתר והחסינויות הניתנות לעיתונות על-ידי החברה לא ינוצלו לרעה ולהבטיח כי חופש הביטוי לא יתנגש בחירויות אחרות.</w:t>
      </w:r>
    </w:p>
    <w:p w:rsidR="003D414D" w:rsidRDefault="003D414D" w:rsidP="003D414D">
      <w:pPr>
        <w:pStyle w:val="Hesber"/>
        <w:rPr>
          <w:rFonts w:cs="David"/>
          <w:sz w:val="26"/>
          <w:rtl/>
        </w:rPr>
      </w:pPr>
      <w:r>
        <w:rPr>
          <w:rFonts w:cs="David"/>
          <w:sz w:val="26"/>
          <w:rtl/>
        </w:rPr>
        <w:t xml:space="preserve">אשר על כן, מוצע כי עורך עיתון העומד לפרסם ידיעה או כתבה אשר יש בה לכאורה משום פגיעה באדם, ינקוט צעדים סבירים כדי לברר ולקבל את תגובתו של האדם לפני הפרסום ובזמן סביר מראש, לפרסם את התגובה ביחד עם הפרסום הפוגע ולהקצות במסגרת הפרסום מקום סביר, בנסיבות העניין, לתגובת הנפגע ולהצגת עמדתו בנושא הפגיעה. אם לא עלה בידו של עורך העיתון לפרסם תגובה במועד הפרסום, על אף שנקט באמצעים סבירים, רשאי אדם שנפגע מפרסום לפנות לעורך העיתון תוך זמן סביר ממועד הפרסום כדי למסור לו את תגובתו ועורך העיתון יפרסם את התגובה. התגובה תנוסח בקצרה, בתמציתיות ובאופן ענייני ואם לא כן, רשאי עורך העיתון להחזירה לנפגע כדי שינסחה באופן האמור או לפרסמה באורח מקוצר ומתומצת, ובלבד שלא יהיה בכך כדי לשנות את תוכנה. עורך העיתון יפרסם את התגובה בידיעה או בכתבה הקרובה ביותר האפשרית בנסיבות העניין, במועד ובהבלטה דומים ככל האפשר לאלו שבהם פורסמה הידיעה או הכתבה הפוגעת. ולסיום, עורך עיתון שעבר על הוראות הצעת החוק יהיה צפוי לקנס כאמור בסעיף 61 (א)(1) לחוק העונשין, </w:t>
      </w:r>
      <w:proofErr w:type="spellStart"/>
      <w:r>
        <w:rPr>
          <w:rFonts w:cs="David"/>
          <w:sz w:val="26"/>
          <w:rtl/>
        </w:rPr>
        <w:t>התשל"ז–1977</w:t>
      </w:r>
      <w:proofErr w:type="spellEnd"/>
      <w:r>
        <w:rPr>
          <w:rFonts w:cs="David"/>
          <w:sz w:val="26"/>
          <w:rtl/>
        </w:rPr>
        <w:t xml:space="preserve">. </w:t>
      </w:r>
      <w:r>
        <w:rPr>
          <w:rFonts w:cs="David"/>
          <w:sz w:val="26"/>
          <w:rtl/>
        </w:rPr>
        <w:tab/>
        <w:t xml:space="preserve">  </w:t>
      </w:r>
    </w:p>
    <w:p w:rsidR="003D414D" w:rsidRDefault="003D414D" w:rsidP="003D414D">
      <w:pPr>
        <w:pStyle w:val="Hesber"/>
        <w:rPr>
          <w:rFonts w:cs="David"/>
          <w:sz w:val="26"/>
          <w:rtl/>
        </w:rPr>
      </w:pPr>
    </w:p>
    <w:p w:rsidR="003D414D" w:rsidRDefault="003D414D" w:rsidP="003D414D">
      <w:pPr>
        <w:spacing w:line="360" w:lineRule="auto"/>
        <w:ind w:firstLine="0"/>
        <w:rPr>
          <w:rFonts w:cs="David"/>
          <w:sz w:val="26"/>
          <w:szCs w:val="26"/>
          <w:rtl/>
        </w:rPr>
      </w:pPr>
    </w:p>
    <w:p w:rsidR="003D414D" w:rsidRDefault="003D414D" w:rsidP="003D414D">
      <w:pPr>
        <w:spacing w:line="360" w:lineRule="auto"/>
        <w:ind w:firstLine="0"/>
        <w:rPr>
          <w:rFonts w:cs="David"/>
          <w:sz w:val="26"/>
          <w:szCs w:val="26"/>
          <w:rtl/>
        </w:rPr>
      </w:pPr>
    </w:p>
    <w:p w:rsidR="003D414D" w:rsidRDefault="003D414D" w:rsidP="003D414D">
      <w:pPr>
        <w:ind w:left="340" w:firstLine="0"/>
        <w:rPr>
          <w:rFonts w:cs="David"/>
          <w:sz w:val="26"/>
          <w:szCs w:val="26"/>
          <w:rtl/>
        </w:rPr>
      </w:pPr>
      <w:r>
        <w:rPr>
          <w:rFonts w:cs="David"/>
          <w:sz w:val="26"/>
          <w:szCs w:val="26"/>
          <w:rtl/>
        </w:rPr>
        <w:t>---------------------------------</w:t>
      </w:r>
    </w:p>
    <w:p w:rsidR="003D414D" w:rsidRDefault="003D414D" w:rsidP="003D414D">
      <w:pPr>
        <w:ind w:left="340" w:firstLine="0"/>
        <w:rPr>
          <w:rFonts w:cs="David"/>
          <w:sz w:val="26"/>
          <w:szCs w:val="26"/>
          <w:rtl/>
        </w:rPr>
      </w:pPr>
      <w:r>
        <w:rPr>
          <w:rFonts w:cs="David" w:hint="cs"/>
          <w:sz w:val="26"/>
          <w:szCs w:val="26"/>
          <w:rtl/>
        </w:rPr>
        <w:t>הוגשה</w:t>
      </w:r>
      <w:r>
        <w:rPr>
          <w:rFonts w:cs="David"/>
          <w:sz w:val="26"/>
          <w:szCs w:val="26"/>
          <w:rtl/>
        </w:rPr>
        <w:t xml:space="preserve"> </w:t>
      </w:r>
      <w:r>
        <w:rPr>
          <w:rFonts w:cs="David" w:hint="cs"/>
          <w:sz w:val="26"/>
          <w:szCs w:val="26"/>
          <w:rtl/>
        </w:rPr>
        <w:t>ליו</w:t>
      </w:r>
      <w:r>
        <w:rPr>
          <w:rFonts w:cs="David"/>
          <w:sz w:val="26"/>
          <w:szCs w:val="26"/>
          <w:rtl/>
        </w:rPr>
        <w:t>"</w:t>
      </w:r>
      <w:r>
        <w:rPr>
          <w:rFonts w:cs="David" w:hint="cs"/>
          <w:sz w:val="26"/>
          <w:szCs w:val="26"/>
          <w:rtl/>
        </w:rPr>
        <w:t>ר</w:t>
      </w:r>
      <w:r>
        <w:rPr>
          <w:rFonts w:cs="David"/>
          <w:sz w:val="26"/>
          <w:szCs w:val="26"/>
          <w:rtl/>
        </w:rPr>
        <w:t xml:space="preserve"> </w:t>
      </w:r>
      <w:r>
        <w:rPr>
          <w:rFonts w:cs="David" w:hint="cs"/>
          <w:sz w:val="26"/>
          <w:szCs w:val="26"/>
          <w:rtl/>
        </w:rPr>
        <w:t>הכנסת</w:t>
      </w:r>
      <w:r>
        <w:rPr>
          <w:rFonts w:cs="David"/>
          <w:sz w:val="26"/>
          <w:szCs w:val="26"/>
          <w:rtl/>
        </w:rPr>
        <w:t xml:space="preserve"> </w:t>
      </w:r>
      <w:r>
        <w:rPr>
          <w:rFonts w:cs="David" w:hint="cs"/>
          <w:sz w:val="26"/>
          <w:szCs w:val="26"/>
          <w:rtl/>
        </w:rPr>
        <w:t>והסגנים</w:t>
      </w:r>
    </w:p>
    <w:p w:rsidR="003D414D" w:rsidRDefault="003D414D" w:rsidP="003D414D">
      <w:pPr>
        <w:ind w:left="340" w:firstLine="0"/>
        <w:rPr>
          <w:rFonts w:cs="David"/>
          <w:sz w:val="26"/>
          <w:szCs w:val="26"/>
          <w:rtl/>
        </w:rPr>
      </w:pPr>
      <w:r>
        <w:rPr>
          <w:rFonts w:cs="David" w:hint="cs"/>
          <w:sz w:val="26"/>
          <w:szCs w:val="26"/>
          <w:rtl/>
        </w:rPr>
        <w:t>והונחה</w:t>
      </w:r>
      <w:r>
        <w:rPr>
          <w:rFonts w:cs="David"/>
          <w:sz w:val="26"/>
          <w:szCs w:val="26"/>
          <w:rtl/>
        </w:rPr>
        <w:t xml:space="preserve"> </w:t>
      </w:r>
      <w:r>
        <w:rPr>
          <w:rFonts w:cs="David" w:hint="cs"/>
          <w:sz w:val="26"/>
          <w:szCs w:val="26"/>
          <w:rtl/>
        </w:rPr>
        <w:t>על</w:t>
      </w:r>
      <w:r>
        <w:rPr>
          <w:rFonts w:cs="David"/>
          <w:sz w:val="26"/>
          <w:szCs w:val="26"/>
          <w:rtl/>
        </w:rPr>
        <w:t xml:space="preserve"> </w:t>
      </w:r>
      <w:r>
        <w:rPr>
          <w:rFonts w:cs="David" w:hint="cs"/>
          <w:sz w:val="26"/>
          <w:szCs w:val="26"/>
          <w:rtl/>
        </w:rPr>
        <w:t>שולחן</w:t>
      </w:r>
      <w:r>
        <w:rPr>
          <w:rFonts w:cs="David"/>
          <w:sz w:val="26"/>
          <w:szCs w:val="26"/>
          <w:rtl/>
        </w:rPr>
        <w:t xml:space="preserve"> </w:t>
      </w:r>
      <w:r>
        <w:rPr>
          <w:rFonts w:cs="David" w:hint="cs"/>
          <w:sz w:val="26"/>
          <w:szCs w:val="26"/>
          <w:rtl/>
        </w:rPr>
        <w:t>הכנסת</w:t>
      </w:r>
      <w:r>
        <w:rPr>
          <w:rFonts w:cs="David"/>
          <w:sz w:val="26"/>
          <w:szCs w:val="26"/>
          <w:rtl/>
        </w:rPr>
        <w:t xml:space="preserve"> </w:t>
      </w:r>
      <w:r>
        <w:rPr>
          <w:rFonts w:cs="David" w:hint="cs"/>
          <w:sz w:val="26"/>
          <w:szCs w:val="26"/>
          <w:rtl/>
        </w:rPr>
        <w:t>ביום</w:t>
      </w:r>
    </w:p>
    <w:p w:rsidR="003D414D" w:rsidRDefault="003D414D" w:rsidP="003D414D">
      <w:pPr>
        <w:ind w:left="340" w:firstLine="0"/>
        <w:rPr>
          <w:rFonts w:cs="David"/>
          <w:sz w:val="26"/>
          <w:szCs w:val="26"/>
          <w:rtl/>
        </w:rPr>
      </w:pPr>
      <w:r>
        <w:rPr>
          <w:rFonts w:cs="David" w:hint="cs"/>
          <w:sz w:val="26"/>
          <w:szCs w:val="26"/>
          <w:rtl/>
        </w:rPr>
        <w:lastRenderedPageBreak/>
        <w:t>י</w:t>
      </w:r>
      <w:r>
        <w:rPr>
          <w:rFonts w:cs="David"/>
          <w:sz w:val="26"/>
          <w:szCs w:val="26"/>
          <w:rtl/>
        </w:rPr>
        <w:t>"</w:t>
      </w:r>
      <w:r>
        <w:rPr>
          <w:rFonts w:cs="David" w:hint="cs"/>
          <w:sz w:val="26"/>
          <w:szCs w:val="26"/>
          <w:rtl/>
        </w:rPr>
        <w:t>ט</w:t>
      </w:r>
      <w:r>
        <w:rPr>
          <w:rFonts w:cs="David"/>
          <w:sz w:val="26"/>
          <w:szCs w:val="26"/>
          <w:rtl/>
        </w:rPr>
        <w:t xml:space="preserve"> </w:t>
      </w:r>
      <w:r>
        <w:rPr>
          <w:rFonts w:cs="David" w:hint="cs"/>
          <w:sz w:val="26"/>
          <w:szCs w:val="26"/>
          <w:rtl/>
        </w:rPr>
        <w:t>באייר</w:t>
      </w:r>
      <w:r>
        <w:rPr>
          <w:rFonts w:cs="David"/>
          <w:sz w:val="26"/>
          <w:szCs w:val="26"/>
          <w:rtl/>
        </w:rPr>
        <w:t xml:space="preserve"> </w:t>
      </w:r>
      <w:proofErr w:type="spellStart"/>
      <w:r>
        <w:rPr>
          <w:rFonts w:cs="David" w:hint="cs"/>
          <w:sz w:val="26"/>
          <w:szCs w:val="26"/>
          <w:rtl/>
        </w:rPr>
        <w:t>התש</w:t>
      </w:r>
      <w:r>
        <w:rPr>
          <w:rFonts w:cs="David"/>
          <w:sz w:val="26"/>
          <w:szCs w:val="26"/>
          <w:rtl/>
        </w:rPr>
        <w:t>"</w:t>
      </w:r>
      <w:r>
        <w:rPr>
          <w:rFonts w:cs="David" w:hint="cs"/>
          <w:sz w:val="26"/>
          <w:szCs w:val="26"/>
          <w:rtl/>
        </w:rPr>
        <w:t>ע</w:t>
      </w:r>
      <w:proofErr w:type="spellEnd"/>
      <w:r>
        <w:rPr>
          <w:rFonts w:cs="David"/>
          <w:sz w:val="26"/>
          <w:szCs w:val="26"/>
          <w:rtl/>
        </w:rPr>
        <w:t xml:space="preserve"> – 3.5.10</w:t>
      </w:r>
      <w:r>
        <w:rPr>
          <w:rFonts w:cs="David"/>
          <w:sz w:val="26"/>
          <w:szCs w:val="26"/>
          <w:rtl/>
        </w:rPr>
        <w:tab/>
      </w:r>
    </w:p>
    <w:p w:rsidR="00A95E42" w:rsidRPr="003D414D" w:rsidRDefault="00A95E42" w:rsidP="003D414D">
      <w:pPr>
        <w:rPr>
          <w:szCs w:val="22"/>
        </w:rPr>
      </w:pPr>
    </w:p>
    <w:sectPr w:rsidR="00A95E42" w:rsidRPr="003D414D" w:rsidSect="00C2019F">
      <w:footerReference w:type="default" r:id="rId8"/>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ADD" w:rsidRDefault="00B41ADD" w:rsidP="00E22E48">
      <w:pPr>
        <w:spacing w:before="0" w:line="240" w:lineRule="auto"/>
      </w:pPr>
      <w:r>
        <w:separator/>
      </w:r>
    </w:p>
  </w:endnote>
  <w:endnote w:type="continuationSeparator" w:id="0">
    <w:p w:rsidR="00B41ADD" w:rsidRDefault="00B41ADD" w:rsidP="00E22E4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MS ??"/>
    <w:panose1 w:val="02020609040205080304"/>
    <w:charset w:val="80"/>
    <w:family w:val="modern"/>
    <w:pitch w:val="fixed"/>
    <w:sig w:usb0="E00002FF" w:usb1="6AC7FDFB" w:usb2="00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9F" w:rsidRDefault="00F703FC">
    <w:pPr>
      <w:pStyle w:val="a6"/>
      <w:framePr w:wrap="auto" w:vAnchor="text" w:hAnchor="text" w:xAlign="center" w:y="1"/>
      <w:rPr>
        <w:rStyle w:val="a8"/>
        <w:rFonts w:cs="Hadasa Roso SL"/>
      </w:rPr>
    </w:pPr>
    <w:r>
      <w:rPr>
        <w:rStyle w:val="a8"/>
        <w:rFonts w:cs="Hadasa Roso SL"/>
      </w:rPr>
      <w:fldChar w:fldCharType="begin"/>
    </w:r>
    <w:r w:rsidR="00D94ACE">
      <w:rPr>
        <w:rStyle w:val="a8"/>
        <w:rFonts w:cs="Hadasa Roso SL"/>
      </w:rPr>
      <w:instrText xml:space="preserve">PAGE  </w:instrText>
    </w:r>
    <w:r>
      <w:rPr>
        <w:rStyle w:val="a8"/>
        <w:rFonts w:cs="Hadasa Roso SL"/>
      </w:rPr>
      <w:fldChar w:fldCharType="separate"/>
    </w:r>
    <w:r w:rsidR="003D414D">
      <w:rPr>
        <w:rStyle w:val="a8"/>
        <w:noProof/>
        <w:rtl/>
      </w:rPr>
      <w:t>3</w:t>
    </w:r>
    <w:r>
      <w:rPr>
        <w:rStyle w:val="a8"/>
        <w:rFonts w:cs="Hadasa Roso SL"/>
      </w:rPr>
      <w:fldChar w:fldCharType="end"/>
    </w:r>
  </w:p>
  <w:p w:rsidR="00C2019F" w:rsidRDefault="00C2019F">
    <w:pPr>
      <w:pStyle w:val="a6"/>
      <w:rPr>
        <w:rFonts w:cs="Hadasa Roso S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ADD" w:rsidRDefault="00B41ADD" w:rsidP="00E22E48">
      <w:pPr>
        <w:spacing w:before="0" w:line="240" w:lineRule="auto"/>
      </w:pPr>
      <w:r>
        <w:separator/>
      </w:r>
    </w:p>
  </w:footnote>
  <w:footnote w:type="continuationSeparator" w:id="0">
    <w:p w:rsidR="00B41ADD" w:rsidRDefault="00B41ADD" w:rsidP="00E22E48">
      <w:pPr>
        <w:spacing w:before="0" w:line="240" w:lineRule="auto"/>
      </w:pPr>
      <w:r>
        <w:continuationSeparator/>
      </w:r>
    </w:p>
  </w:footnote>
  <w:footnote w:id="1">
    <w:p w:rsidR="003D414D" w:rsidRDefault="003D414D" w:rsidP="003D414D">
      <w:pPr>
        <w:pStyle w:val="a3"/>
      </w:pPr>
      <w:r>
        <w:rPr>
          <w:rStyle w:val="a5"/>
          <w:rFonts w:cs="David"/>
        </w:rPr>
        <w:footnoteRef/>
      </w:r>
      <w:r>
        <w:rPr>
          <w:rFonts w:cs="David"/>
          <w:sz w:val="20"/>
          <w:rtl/>
        </w:rPr>
        <w:t xml:space="preserve"> </w:t>
      </w:r>
      <w:proofErr w:type="spellStart"/>
      <w:r>
        <w:rPr>
          <w:rFonts w:cs="David"/>
          <w:sz w:val="20"/>
          <w:rtl/>
        </w:rPr>
        <w:t>חא"י</w:t>
      </w:r>
      <w:proofErr w:type="spellEnd"/>
      <w:r>
        <w:rPr>
          <w:rFonts w:cs="David"/>
          <w:sz w:val="20"/>
          <w:rtl/>
        </w:rPr>
        <w:t xml:space="preserve">, כרך ב' </w:t>
      </w:r>
      <w:proofErr w:type="spellStart"/>
      <w:r>
        <w:rPr>
          <w:rFonts w:cs="David"/>
          <w:sz w:val="20"/>
          <w:rtl/>
        </w:rPr>
        <w:t>עמ</w:t>
      </w:r>
      <w:proofErr w:type="spellEnd"/>
      <w:r>
        <w:rPr>
          <w:rFonts w:cs="David"/>
          <w:sz w:val="20"/>
          <w:rtl/>
        </w:rPr>
        <w:t>' (ע) 1191, (א) 1214.</w:t>
      </w:r>
    </w:p>
  </w:footnote>
  <w:footnote w:id="2">
    <w:p w:rsidR="003D414D" w:rsidRDefault="003D414D" w:rsidP="003D414D">
      <w:pPr>
        <w:pStyle w:val="a3"/>
      </w:pPr>
      <w:r>
        <w:rPr>
          <w:rStyle w:val="a5"/>
          <w:rFonts w:cs="David"/>
        </w:rPr>
        <w:footnoteRef/>
      </w:r>
      <w:r>
        <w:rPr>
          <w:rFonts w:cs="Times New Roman"/>
          <w:sz w:val="20"/>
          <w:rtl/>
        </w:rPr>
        <w:t xml:space="preserve"> </w:t>
      </w:r>
      <w:r>
        <w:rPr>
          <w:rFonts w:cs="David"/>
          <w:sz w:val="20"/>
          <w:rtl/>
        </w:rPr>
        <w:t xml:space="preserve"> </w:t>
      </w:r>
      <w:r>
        <w:rPr>
          <w:rFonts w:cs="David"/>
          <w:sz w:val="20"/>
          <w:rtl/>
        </w:rPr>
        <w:t xml:space="preserve">ס"ח </w:t>
      </w:r>
      <w:proofErr w:type="spellStart"/>
      <w:r>
        <w:rPr>
          <w:rFonts w:cs="David"/>
          <w:sz w:val="20"/>
          <w:rtl/>
        </w:rPr>
        <w:t>התשל"ז</w:t>
      </w:r>
      <w:proofErr w:type="spellEnd"/>
      <w:r>
        <w:rPr>
          <w:rFonts w:cs="David"/>
          <w:sz w:val="20"/>
          <w:rtl/>
        </w:rPr>
        <w:t xml:space="preserve">, </w:t>
      </w:r>
      <w:proofErr w:type="spellStart"/>
      <w:r>
        <w:rPr>
          <w:rFonts w:cs="David"/>
          <w:sz w:val="20"/>
          <w:rtl/>
        </w:rPr>
        <w:t>עמ</w:t>
      </w:r>
      <w:proofErr w:type="spellEnd"/>
      <w:r>
        <w:rPr>
          <w:rFonts w:cs="David"/>
          <w:sz w:val="20"/>
          <w:rtl/>
        </w:rPr>
        <w:t>' 226.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453A"/>
    <w:multiLevelType w:val="hybridMultilevel"/>
    <w:tmpl w:val="49AE04C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4DE853D4">
      <w:start w:val="1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4C3ADC"/>
    <w:multiLevelType w:val="hybridMultilevel"/>
    <w:tmpl w:val="3D6012BE"/>
    <w:lvl w:ilvl="0" w:tplc="74A08E14">
      <w:start w:val="1"/>
      <w:numFmt w:val="hebrew1"/>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E0A0ECA"/>
    <w:multiLevelType w:val="hybridMultilevel"/>
    <w:tmpl w:val="0F5476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681727"/>
    <w:multiLevelType w:val="hybridMultilevel"/>
    <w:tmpl w:val="1F48901A"/>
    <w:lvl w:ilvl="0" w:tplc="738E8BC8">
      <w:start w:val="1"/>
      <w:numFmt w:val="hebrew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F4A73F4"/>
    <w:multiLevelType w:val="hybridMultilevel"/>
    <w:tmpl w:val="203E7184"/>
    <w:lvl w:ilvl="0" w:tplc="EFA87FAA">
      <w:start w:val="2"/>
      <w:numFmt w:val="bullet"/>
      <w:lvlText w:val="-"/>
      <w:lvlJc w:val="left"/>
      <w:pPr>
        <w:tabs>
          <w:tab w:val="num" w:pos="1800"/>
        </w:tabs>
        <w:ind w:left="1800" w:hanging="360"/>
      </w:pPr>
      <w:rPr>
        <w:rFonts w:ascii="Times New Roman" w:eastAsia="Times New Roman" w:hAnsi="Times New Roman" w:cs="David"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753C544D"/>
    <w:multiLevelType w:val="hybridMultilevel"/>
    <w:tmpl w:val="B170A16C"/>
    <w:lvl w:ilvl="0" w:tplc="746489A4">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rPr>
    </w:lvl>
    <w:lvl w:ilvl="3" w:tplc="1F820BA4">
      <w:start w:val="1"/>
      <w:numFmt w:val="hebrew1"/>
      <w:lvlRestart w:val="0"/>
      <w:lvlText w:val="(%4)"/>
      <w:lvlJc w:val="left"/>
      <w:pPr>
        <w:tabs>
          <w:tab w:val="num" w:pos="624"/>
        </w:tabs>
      </w:pPr>
      <w:rPr>
        <w:rFonts w:cs="Times New Roman" w:hint="default"/>
      </w:rPr>
    </w:lvl>
    <w:lvl w:ilvl="4" w:tplc="62C6E096">
      <w:start w:val="1"/>
      <w:numFmt w:val="decimal"/>
      <w:lvlRestart w:val="0"/>
      <w:lvlText w:val="(%5)"/>
      <w:lvlJc w:val="left"/>
      <w:pPr>
        <w:tabs>
          <w:tab w:val="num" w:pos="3864"/>
        </w:tabs>
        <w:ind w:left="324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2E48"/>
    <w:rsid w:val="00000B60"/>
    <w:rsid w:val="000027A0"/>
    <w:rsid w:val="00004623"/>
    <w:rsid w:val="00014752"/>
    <w:rsid w:val="0001534A"/>
    <w:rsid w:val="00020F87"/>
    <w:rsid w:val="00021826"/>
    <w:rsid w:val="00022217"/>
    <w:rsid w:val="00022742"/>
    <w:rsid w:val="00022F16"/>
    <w:rsid w:val="00024897"/>
    <w:rsid w:val="00033328"/>
    <w:rsid w:val="000333DC"/>
    <w:rsid w:val="00033C40"/>
    <w:rsid w:val="000355A9"/>
    <w:rsid w:val="00036690"/>
    <w:rsid w:val="000376B3"/>
    <w:rsid w:val="000407E6"/>
    <w:rsid w:val="000409B4"/>
    <w:rsid w:val="00042678"/>
    <w:rsid w:val="00044492"/>
    <w:rsid w:val="000463D5"/>
    <w:rsid w:val="00047431"/>
    <w:rsid w:val="00050476"/>
    <w:rsid w:val="00050550"/>
    <w:rsid w:val="00052C19"/>
    <w:rsid w:val="00052D59"/>
    <w:rsid w:val="00055D5D"/>
    <w:rsid w:val="00061F47"/>
    <w:rsid w:val="00062106"/>
    <w:rsid w:val="00062BE3"/>
    <w:rsid w:val="000630FC"/>
    <w:rsid w:val="0006526B"/>
    <w:rsid w:val="000666BF"/>
    <w:rsid w:val="000667D6"/>
    <w:rsid w:val="00071C87"/>
    <w:rsid w:val="000738D7"/>
    <w:rsid w:val="000742D3"/>
    <w:rsid w:val="000768B1"/>
    <w:rsid w:val="00076CB1"/>
    <w:rsid w:val="00076D6C"/>
    <w:rsid w:val="00077576"/>
    <w:rsid w:val="00083DBD"/>
    <w:rsid w:val="000840C7"/>
    <w:rsid w:val="00084D0A"/>
    <w:rsid w:val="00085244"/>
    <w:rsid w:val="000931BB"/>
    <w:rsid w:val="00094557"/>
    <w:rsid w:val="00094700"/>
    <w:rsid w:val="00094CCD"/>
    <w:rsid w:val="000951D0"/>
    <w:rsid w:val="000959EE"/>
    <w:rsid w:val="00096BE5"/>
    <w:rsid w:val="000978B5"/>
    <w:rsid w:val="000A3A7D"/>
    <w:rsid w:val="000A4C9F"/>
    <w:rsid w:val="000B0826"/>
    <w:rsid w:val="000B198F"/>
    <w:rsid w:val="000B1C70"/>
    <w:rsid w:val="000B4450"/>
    <w:rsid w:val="000B4E44"/>
    <w:rsid w:val="000B4ECA"/>
    <w:rsid w:val="000B592C"/>
    <w:rsid w:val="000C0D51"/>
    <w:rsid w:val="000C2E52"/>
    <w:rsid w:val="000C436B"/>
    <w:rsid w:val="000C49BB"/>
    <w:rsid w:val="000C4A2D"/>
    <w:rsid w:val="000C50A6"/>
    <w:rsid w:val="000C65F0"/>
    <w:rsid w:val="000D06E5"/>
    <w:rsid w:val="000D3CFA"/>
    <w:rsid w:val="000D3F0B"/>
    <w:rsid w:val="000D5CD0"/>
    <w:rsid w:val="000D7534"/>
    <w:rsid w:val="000E0DA3"/>
    <w:rsid w:val="000E1379"/>
    <w:rsid w:val="000E273C"/>
    <w:rsid w:val="000E2C79"/>
    <w:rsid w:val="000E2DA1"/>
    <w:rsid w:val="000E3113"/>
    <w:rsid w:val="000E4E6F"/>
    <w:rsid w:val="000E5646"/>
    <w:rsid w:val="000F1AA1"/>
    <w:rsid w:val="000F4282"/>
    <w:rsid w:val="000F4F81"/>
    <w:rsid w:val="000F6AC1"/>
    <w:rsid w:val="000F6DAF"/>
    <w:rsid w:val="000F7031"/>
    <w:rsid w:val="000F7884"/>
    <w:rsid w:val="00100328"/>
    <w:rsid w:val="001008CB"/>
    <w:rsid w:val="00100BB7"/>
    <w:rsid w:val="00101760"/>
    <w:rsid w:val="00102370"/>
    <w:rsid w:val="001042AC"/>
    <w:rsid w:val="00107F1D"/>
    <w:rsid w:val="00111733"/>
    <w:rsid w:val="00112760"/>
    <w:rsid w:val="00113555"/>
    <w:rsid w:val="001170E2"/>
    <w:rsid w:val="001172EA"/>
    <w:rsid w:val="00120D38"/>
    <w:rsid w:val="0012190F"/>
    <w:rsid w:val="00121B78"/>
    <w:rsid w:val="00121E3A"/>
    <w:rsid w:val="0012334C"/>
    <w:rsid w:val="001311E3"/>
    <w:rsid w:val="00131354"/>
    <w:rsid w:val="001320FE"/>
    <w:rsid w:val="00135344"/>
    <w:rsid w:val="0013769B"/>
    <w:rsid w:val="00140080"/>
    <w:rsid w:val="001401E1"/>
    <w:rsid w:val="001433B5"/>
    <w:rsid w:val="00147F7D"/>
    <w:rsid w:val="001506AF"/>
    <w:rsid w:val="0015230A"/>
    <w:rsid w:val="0015410A"/>
    <w:rsid w:val="0015609D"/>
    <w:rsid w:val="001642C1"/>
    <w:rsid w:val="00164A41"/>
    <w:rsid w:val="00164BC8"/>
    <w:rsid w:val="001663B6"/>
    <w:rsid w:val="00171718"/>
    <w:rsid w:val="0017204D"/>
    <w:rsid w:val="00173D01"/>
    <w:rsid w:val="00174BA8"/>
    <w:rsid w:val="00180C70"/>
    <w:rsid w:val="00180D4A"/>
    <w:rsid w:val="00184395"/>
    <w:rsid w:val="00186E44"/>
    <w:rsid w:val="0019096D"/>
    <w:rsid w:val="0019139B"/>
    <w:rsid w:val="001914DB"/>
    <w:rsid w:val="00191577"/>
    <w:rsid w:val="001919B8"/>
    <w:rsid w:val="00192D7B"/>
    <w:rsid w:val="00193096"/>
    <w:rsid w:val="00193823"/>
    <w:rsid w:val="00194027"/>
    <w:rsid w:val="00194E0C"/>
    <w:rsid w:val="001951D3"/>
    <w:rsid w:val="001959FE"/>
    <w:rsid w:val="00196AD0"/>
    <w:rsid w:val="001976C2"/>
    <w:rsid w:val="00197B07"/>
    <w:rsid w:val="00197EBF"/>
    <w:rsid w:val="001A1260"/>
    <w:rsid w:val="001A1AA1"/>
    <w:rsid w:val="001A2173"/>
    <w:rsid w:val="001A3C50"/>
    <w:rsid w:val="001A4057"/>
    <w:rsid w:val="001A44AE"/>
    <w:rsid w:val="001A4872"/>
    <w:rsid w:val="001A4FBE"/>
    <w:rsid w:val="001A69AC"/>
    <w:rsid w:val="001A70ED"/>
    <w:rsid w:val="001B1167"/>
    <w:rsid w:val="001B61D9"/>
    <w:rsid w:val="001B6663"/>
    <w:rsid w:val="001C48E5"/>
    <w:rsid w:val="001D097A"/>
    <w:rsid w:val="001D1525"/>
    <w:rsid w:val="001D3EE8"/>
    <w:rsid w:val="001D55C5"/>
    <w:rsid w:val="001D5F8C"/>
    <w:rsid w:val="001D6D6D"/>
    <w:rsid w:val="001D7C44"/>
    <w:rsid w:val="001E07C6"/>
    <w:rsid w:val="001E1102"/>
    <w:rsid w:val="001E3334"/>
    <w:rsid w:val="001E4FC6"/>
    <w:rsid w:val="001E713B"/>
    <w:rsid w:val="001E75FD"/>
    <w:rsid w:val="001E76B6"/>
    <w:rsid w:val="001F1331"/>
    <w:rsid w:val="001F1E69"/>
    <w:rsid w:val="001F5198"/>
    <w:rsid w:val="001F520D"/>
    <w:rsid w:val="001F772A"/>
    <w:rsid w:val="001F7763"/>
    <w:rsid w:val="001F7E3B"/>
    <w:rsid w:val="00202E23"/>
    <w:rsid w:val="0020408A"/>
    <w:rsid w:val="0020544F"/>
    <w:rsid w:val="00206835"/>
    <w:rsid w:val="00211C3A"/>
    <w:rsid w:val="00216DC4"/>
    <w:rsid w:val="002177E5"/>
    <w:rsid w:val="00221E19"/>
    <w:rsid w:val="0022235F"/>
    <w:rsid w:val="0022645B"/>
    <w:rsid w:val="00231B5A"/>
    <w:rsid w:val="00237C14"/>
    <w:rsid w:val="00237EBD"/>
    <w:rsid w:val="002438CA"/>
    <w:rsid w:val="00244506"/>
    <w:rsid w:val="00244E8A"/>
    <w:rsid w:val="002452BC"/>
    <w:rsid w:val="00245417"/>
    <w:rsid w:val="00251A12"/>
    <w:rsid w:val="00251BEB"/>
    <w:rsid w:val="00253E13"/>
    <w:rsid w:val="00254525"/>
    <w:rsid w:val="00255F34"/>
    <w:rsid w:val="00262017"/>
    <w:rsid w:val="00262628"/>
    <w:rsid w:val="002644B9"/>
    <w:rsid w:val="002647C2"/>
    <w:rsid w:val="002660F5"/>
    <w:rsid w:val="0026665F"/>
    <w:rsid w:val="00267A5A"/>
    <w:rsid w:val="0027207A"/>
    <w:rsid w:val="00274724"/>
    <w:rsid w:val="002753F2"/>
    <w:rsid w:val="00280D87"/>
    <w:rsid w:val="00281BE8"/>
    <w:rsid w:val="00282FB3"/>
    <w:rsid w:val="00286E26"/>
    <w:rsid w:val="00287FEB"/>
    <w:rsid w:val="00290AB7"/>
    <w:rsid w:val="00291C8F"/>
    <w:rsid w:val="00291D6D"/>
    <w:rsid w:val="00291FB3"/>
    <w:rsid w:val="00292203"/>
    <w:rsid w:val="00292F48"/>
    <w:rsid w:val="00294C23"/>
    <w:rsid w:val="00295684"/>
    <w:rsid w:val="002A0973"/>
    <w:rsid w:val="002A2575"/>
    <w:rsid w:val="002A25F4"/>
    <w:rsid w:val="002A33C2"/>
    <w:rsid w:val="002A5EC0"/>
    <w:rsid w:val="002A6110"/>
    <w:rsid w:val="002A7A62"/>
    <w:rsid w:val="002B01C7"/>
    <w:rsid w:val="002B4EE7"/>
    <w:rsid w:val="002B70BC"/>
    <w:rsid w:val="002C28BB"/>
    <w:rsid w:val="002C6971"/>
    <w:rsid w:val="002C6B00"/>
    <w:rsid w:val="002D217A"/>
    <w:rsid w:val="002D36D7"/>
    <w:rsid w:val="002D3BB4"/>
    <w:rsid w:val="002D6ECA"/>
    <w:rsid w:val="002D787C"/>
    <w:rsid w:val="002D7CA5"/>
    <w:rsid w:val="002E1210"/>
    <w:rsid w:val="002E2EA0"/>
    <w:rsid w:val="002E66B9"/>
    <w:rsid w:val="002E7065"/>
    <w:rsid w:val="002E7CF1"/>
    <w:rsid w:val="002F2449"/>
    <w:rsid w:val="002F3583"/>
    <w:rsid w:val="002F6F50"/>
    <w:rsid w:val="003003C3"/>
    <w:rsid w:val="00301365"/>
    <w:rsid w:val="003018CE"/>
    <w:rsid w:val="00305BDC"/>
    <w:rsid w:val="003071D9"/>
    <w:rsid w:val="003076A0"/>
    <w:rsid w:val="0031177B"/>
    <w:rsid w:val="0031186A"/>
    <w:rsid w:val="0031327B"/>
    <w:rsid w:val="003144DA"/>
    <w:rsid w:val="0031756F"/>
    <w:rsid w:val="0031799B"/>
    <w:rsid w:val="00320A9E"/>
    <w:rsid w:val="00320B9D"/>
    <w:rsid w:val="0032118B"/>
    <w:rsid w:val="00322613"/>
    <w:rsid w:val="00323A5B"/>
    <w:rsid w:val="00324E27"/>
    <w:rsid w:val="003272E0"/>
    <w:rsid w:val="003275B3"/>
    <w:rsid w:val="00330351"/>
    <w:rsid w:val="0033318B"/>
    <w:rsid w:val="00336B65"/>
    <w:rsid w:val="00344311"/>
    <w:rsid w:val="003457D7"/>
    <w:rsid w:val="00345A39"/>
    <w:rsid w:val="00345B8C"/>
    <w:rsid w:val="0035050A"/>
    <w:rsid w:val="003521DB"/>
    <w:rsid w:val="00353D99"/>
    <w:rsid w:val="00353F90"/>
    <w:rsid w:val="003606A0"/>
    <w:rsid w:val="0036148E"/>
    <w:rsid w:val="00362289"/>
    <w:rsid w:val="003644C5"/>
    <w:rsid w:val="0037034C"/>
    <w:rsid w:val="00370863"/>
    <w:rsid w:val="00372D9B"/>
    <w:rsid w:val="00373140"/>
    <w:rsid w:val="003744FF"/>
    <w:rsid w:val="003761CE"/>
    <w:rsid w:val="00376F01"/>
    <w:rsid w:val="003803AE"/>
    <w:rsid w:val="003811CF"/>
    <w:rsid w:val="00381BAB"/>
    <w:rsid w:val="0038302A"/>
    <w:rsid w:val="003856B9"/>
    <w:rsid w:val="00387C18"/>
    <w:rsid w:val="00390DE8"/>
    <w:rsid w:val="003918F5"/>
    <w:rsid w:val="00392D36"/>
    <w:rsid w:val="00394453"/>
    <w:rsid w:val="00396CC1"/>
    <w:rsid w:val="003A2926"/>
    <w:rsid w:val="003A35E2"/>
    <w:rsid w:val="003A5EC8"/>
    <w:rsid w:val="003A6280"/>
    <w:rsid w:val="003A668A"/>
    <w:rsid w:val="003B1BBB"/>
    <w:rsid w:val="003B2592"/>
    <w:rsid w:val="003B2A3B"/>
    <w:rsid w:val="003B4AAC"/>
    <w:rsid w:val="003B5198"/>
    <w:rsid w:val="003B69A6"/>
    <w:rsid w:val="003B6C7C"/>
    <w:rsid w:val="003C0054"/>
    <w:rsid w:val="003C2CDE"/>
    <w:rsid w:val="003C425C"/>
    <w:rsid w:val="003C5614"/>
    <w:rsid w:val="003C5CED"/>
    <w:rsid w:val="003D414D"/>
    <w:rsid w:val="003D7438"/>
    <w:rsid w:val="003D7CDD"/>
    <w:rsid w:val="003E01DC"/>
    <w:rsid w:val="003E07E8"/>
    <w:rsid w:val="003E1858"/>
    <w:rsid w:val="003E41C7"/>
    <w:rsid w:val="003E72EB"/>
    <w:rsid w:val="003F1553"/>
    <w:rsid w:val="00402341"/>
    <w:rsid w:val="0040634C"/>
    <w:rsid w:val="00406B97"/>
    <w:rsid w:val="0040729A"/>
    <w:rsid w:val="0040794B"/>
    <w:rsid w:val="00410755"/>
    <w:rsid w:val="00410D40"/>
    <w:rsid w:val="00410E09"/>
    <w:rsid w:val="00411121"/>
    <w:rsid w:val="004117B2"/>
    <w:rsid w:val="00414656"/>
    <w:rsid w:val="00414996"/>
    <w:rsid w:val="00422154"/>
    <w:rsid w:val="00423905"/>
    <w:rsid w:val="00423EE9"/>
    <w:rsid w:val="00424451"/>
    <w:rsid w:val="0042576B"/>
    <w:rsid w:val="00425CC9"/>
    <w:rsid w:val="00431761"/>
    <w:rsid w:val="00431C20"/>
    <w:rsid w:val="004353CD"/>
    <w:rsid w:val="00436489"/>
    <w:rsid w:val="00436C72"/>
    <w:rsid w:val="00437AC3"/>
    <w:rsid w:val="004403FA"/>
    <w:rsid w:val="00443954"/>
    <w:rsid w:val="00443DF9"/>
    <w:rsid w:val="00445DCE"/>
    <w:rsid w:val="004464FC"/>
    <w:rsid w:val="00452CB6"/>
    <w:rsid w:val="00457977"/>
    <w:rsid w:val="00460197"/>
    <w:rsid w:val="0046063C"/>
    <w:rsid w:val="00463ABF"/>
    <w:rsid w:val="00463B12"/>
    <w:rsid w:val="00465A7C"/>
    <w:rsid w:val="00466B32"/>
    <w:rsid w:val="00467520"/>
    <w:rsid w:val="00467944"/>
    <w:rsid w:val="00467A3E"/>
    <w:rsid w:val="00467B30"/>
    <w:rsid w:val="00470F6D"/>
    <w:rsid w:val="00471CC1"/>
    <w:rsid w:val="004766A3"/>
    <w:rsid w:val="0048448C"/>
    <w:rsid w:val="00486826"/>
    <w:rsid w:val="00486EB1"/>
    <w:rsid w:val="00487F34"/>
    <w:rsid w:val="0049093C"/>
    <w:rsid w:val="00492519"/>
    <w:rsid w:val="00492BF2"/>
    <w:rsid w:val="00493BAE"/>
    <w:rsid w:val="00494155"/>
    <w:rsid w:val="004966DC"/>
    <w:rsid w:val="00497F67"/>
    <w:rsid w:val="004A0873"/>
    <w:rsid w:val="004A13A4"/>
    <w:rsid w:val="004A1807"/>
    <w:rsid w:val="004A29E2"/>
    <w:rsid w:val="004A2FE2"/>
    <w:rsid w:val="004A5381"/>
    <w:rsid w:val="004B0424"/>
    <w:rsid w:val="004B259C"/>
    <w:rsid w:val="004B4850"/>
    <w:rsid w:val="004B516A"/>
    <w:rsid w:val="004B5A43"/>
    <w:rsid w:val="004B6294"/>
    <w:rsid w:val="004B6673"/>
    <w:rsid w:val="004B6D2E"/>
    <w:rsid w:val="004C337D"/>
    <w:rsid w:val="004C4919"/>
    <w:rsid w:val="004C55FA"/>
    <w:rsid w:val="004C6E98"/>
    <w:rsid w:val="004D6172"/>
    <w:rsid w:val="004D70F2"/>
    <w:rsid w:val="004E0673"/>
    <w:rsid w:val="004E17AC"/>
    <w:rsid w:val="004E230E"/>
    <w:rsid w:val="004E2E34"/>
    <w:rsid w:val="004E51B1"/>
    <w:rsid w:val="004F1564"/>
    <w:rsid w:val="004F249B"/>
    <w:rsid w:val="004F571F"/>
    <w:rsid w:val="004F683D"/>
    <w:rsid w:val="004F7352"/>
    <w:rsid w:val="005005D2"/>
    <w:rsid w:val="005006DE"/>
    <w:rsid w:val="00502105"/>
    <w:rsid w:val="0050277A"/>
    <w:rsid w:val="00503204"/>
    <w:rsid w:val="00504D89"/>
    <w:rsid w:val="0050622B"/>
    <w:rsid w:val="00507004"/>
    <w:rsid w:val="00510AD5"/>
    <w:rsid w:val="00510E00"/>
    <w:rsid w:val="005124E2"/>
    <w:rsid w:val="00513A3E"/>
    <w:rsid w:val="00513BDB"/>
    <w:rsid w:val="00514938"/>
    <w:rsid w:val="00517747"/>
    <w:rsid w:val="0052085C"/>
    <w:rsid w:val="00520F0C"/>
    <w:rsid w:val="0052627C"/>
    <w:rsid w:val="0053054B"/>
    <w:rsid w:val="00531BE3"/>
    <w:rsid w:val="00534ACC"/>
    <w:rsid w:val="00534EED"/>
    <w:rsid w:val="00535473"/>
    <w:rsid w:val="00537512"/>
    <w:rsid w:val="0053772A"/>
    <w:rsid w:val="00540156"/>
    <w:rsid w:val="0054168E"/>
    <w:rsid w:val="00541E20"/>
    <w:rsid w:val="0054469E"/>
    <w:rsid w:val="0054540E"/>
    <w:rsid w:val="00546FC1"/>
    <w:rsid w:val="005478B4"/>
    <w:rsid w:val="00547B45"/>
    <w:rsid w:val="00550D27"/>
    <w:rsid w:val="00551177"/>
    <w:rsid w:val="005532CF"/>
    <w:rsid w:val="00555357"/>
    <w:rsid w:val="005577C1"/>
    <w:rsid w:val="00557ADF"/>
    <w:rsid w:val="0056446F"/>
    <w:rsid w:val="00564EFD"/>
    <w:rsid w:val="005709BA"/>
    <w:rsid w:val="00577D9B"/>
    <w:rsid w:val="00581046"/>
    <w:rsid w:val="00582535"/>
    <w:rsid w:val="00582A0F"/>
    <w:rsid w:val="005832C7"/>
    <w:rsid w:val="0058397E"/>
    <w:rsid w:val="00584584"/>
    <w:rsid w:val="00584A20"/>
    <w:rsid w:val="00586B65"/>
    <w:rsid w:val="00590333"/>
    <w:rsid w:val="005911AA"/>
    <w:rsid w:val="0059198C"/>
    <w:rsid w:val="0059352F"/>
    <w:rsid w:val="005940E2"/>
    <w:rsid w:val="00595625"/>
    <w:rsid w:val="00595BE7"/>
    <w:rsid w:val="00595E10"/>
    <w:rsid w:val="00596BD4"/>
    <w:rsid w:val="005A177C"/>
    <w:rsid w:val="005A3715"/>
    <w:rsid w:val="005A5DD6"/>
    <w:rsid w:val="005A60D2"/>
    <w:rsid w:val="005A6200"/>
    <w:rsid w:val="005B03CF"/>
    <w:rsid w:val="005B0DE1"/>
    <w:rsid w:val="005B1D42"/>
    <w:rsid w:val="005B4F67"/>
    <w:rsid w:val="005B7536"/>
    <w:rsid w:val="005B77F1"/>
    <w:rsid w:val="005B7C1E"/>
    <w:rsid w:val="005C5B06"/>
    <w:rsid w:val="005C5B7A"/>
    <w:rsid w:val="005D02C6"/>
    <w:rsid w:val="005D155A"/>
    <w:rsid w:val="005D44AC"/>
    <w:rsid w:val="005D6FC6"/>
    <w:rsid w:val="005D7A86"/>
    <w:rsid w:val="005E15F7"/>
    <w:rsid w:val="005E2986"/>
    <w:rsid w:val="005E3BDC"/>
    <w:rsid w:val="005E3CD0"/>
    <w:rsid w:val="005E46B9"/>
    <w:rsid w:val="005E518B"/>
    <w:rsid w:val="005E62CF"/>
    <w:rsid w:val="005E67E7"/>
    <w:rsid w:val="005F51BB"/>
    <w:rsid w:val="00600CA3"/>
    <w:rsid w:val="0060296B"/>
    <w:rsid w:val="006030C5"/>
    <w:rsid w:val="00611C76"/>
    <w:rsid w:val="00616FDB"/>
    <w:rsid w:val="00617234"/>
    <w:rsid w:val="006231E4"/>
    <w:rsid w:val="0062328E"/>
    <w:rsid w:val="00623333"/>
    <w:rsid w:val="0062399E"/>
    <w:rsid w:val="00627474"/>
    <w:rsid w:val="00627900"/>
    <w:rsid w:val="00631E66"/>
    <w:rsid w:val="006323C0"/>
    <w:rsid w:val="00632444"/>
    <w:rsid w:val="0063264B"/>
    <w:rsid w:val="00632DB8"/>
    <w:rsid w:val="00633C88"/>
    <w:rsid w:val="00636CD0"/>
    <w:rsid w:val="00640932"/>
    <w:rsid w:val="006418E2"/>
    <w:rsid w:val="00643431"/>
    <w:rsid w:val="00645138"/>
    <w:rsid w:val="00647A7D"/>
    <w:rsid w:val="00650108"/>
    <w:rsid w:val="006504DA"/>
    <w:rsid w:val="00650F04"/>
    <w:rsid w:val="00650F7B"/>
    <w:rsid w:val="00654934"/>
    <w:rsid w:val="00655520"/>
    <w:rsid w:val="0066230C"/>
    <w:rsid w:val="00664A8D"/>
    <w:rsid w:val="00666EEB"/>
    <w:rsid w:val="006672EC"/>
    <w:rsid w:val="00667A30"/>
    <w:rsid w:val="00673D33"/>
    <w:rsid w:val="0068024E"/>
    <w:rsid w:val="0068098C"/>
    <w:rsid w:val="00681410"/>
    <w:rsid w:val="00681685"/>
    <w:rsid w:val="0068540D"/>
    <w:rsid w:val="00686252"/>
    <w:rsid w:val="00686F83"/>
    <w:rsid w:val="006904E4"/>
    <w:rsid w:val="00690C1B"/>
    <w:rsid w:val="00691394"/>
    <w:rsid w:val="00691E67"/>
    <w:rsid w:val="00693E23"/>
    <w:rsid w:val="006955FB"/>
    <w:rsid w:val="0069656D"/>
    <w:rsid w:val="0069660A"/>
    <w:rsid w:val="00696FA6"/>
    <w:rsid w:val="006A0066"/>
    <w:rsid w:val="006A07D0"/>
    <w:rsid w:val="006A0F86"/>
    <w:rsid w:val="006A14B1"/>
    <w:rsid w:val="006A14C6"/>
    <w:rsid w:val="006A6EB3"/>
    <w:rsid w:val="006A7C5A"/>
    <w:rsid w:val="006B1166"/>
    <w:rsid w:val="006B1B49"/>
    <w:rsid w:val="006B708B"/>
    <w:rsid w:val="006B7288"/>
    <w:rsid w:val="006B795B"/>
    <w:rsid w:val="006C02AC"/>
    <w:rsid w:val="006D005B"/>
    <w:rsid w:val="006D0569"/>
    <w:rsid w:val="006E0DB6"/>
    <w:rsid w:val="006E0E54"/>
    <w:rsid w:val="006E2C9C"/>
    <w:rsid w:val="006E3170"/>
    <w:rsid w:val="006E32C7"/>
    <w:rsid w:val="006E3443"/>
    <w:rsid w:val="006E7698"/>
    <w:rsid w:val="006F0350"/>
    <w:rsid w:val="006F244D"/>
    <w:rsid w:val="006F269A"/>
    <w:rsid w:val="006F2AB7"/>
    <w:rsid w:val="006F3294"/>
    <w:rsid w:val="006F3BF2"/>
    <w:rsid w:val="006F4DB5"/>
    <w:rsid w:val="006F68AE"/>
    <w:rsid w:val="007007C2"/>
    <w:rsid w:val="00700832"/>
    <w:rsid w:val="00702A7E"/>
    <w:rsid w:val="007039E0"/>
    <w:rsid w:val="00704123"/>
    <w:rsid w:val="007052F7"/>
    <w:rsid w:val="007064FE"/>
    <w:rsid w:val="00706C05"/>
    <w:rsid w:val="007129E4"/>
    <w:rsid w:val="00713AF8"/>
    <w:rsid w:val="007140FE"/>
    <w:rsid w:val="00715371"/>
    <w:rsid w:val="00716DE5"/>
    <w:rsid w:val="00723537"/>
    <w:rsid w:val="00724525"/>
    <w:rsid w:val="007253F8"/>
    <w:rsid w:val="00726FC4"/>
    <w:rsid w:val="00733019"/>
    <w:rsid w:val="007344D0"/>
    <w:rsid w:val="00734BF1"/>
    <w:rsid w:val="007364A8"/>
    <w:rsid w:val="0074137C"/>
    <w:rsid w:val="00746078"/>
    <w:rsid w:val="007519E3"/>
    <w:rsid w:val="0075597A"/>
    <w:rsid w:val="007567CB"/>
    <w:rsid w:val="00760DDD"/>
    <w:rsid w:val="0076159E"/>
    <w:rsid w:val="00762198"/>
    <w:rsid w:val="00763309"/>
    <w:rsid w:val="00763516"/>
    <w:rsid w:val="0076390A"/>
    <w:rsid w:val="0077122E"/>
    <w:rsid w:val="0077406A"/>
    <w:rsid w:val="00775DE5"/>
    <w:rsid w:val="007807D9"/>
    <w:rsid w:val="007865A8"/>
    <w:rsid w:val="0078677A"/>
    <w:rsid w:val="00792DC6"/>
    <w:rsid w:val="00793CAC"/>
    <w:rsid w:val="00794E4A"/>
    <w:rsid w:val="00796829"/>
    <w:rsid w:val="00796FF6"/>
    <w:rsid w:val="0079768C"/>
    <w:rsid w:val="007A0E38"/>
    <w:rsid w:val="007A164A"/>
    <w:rsid w:val="007A1C4A"/>
    <w:rsid w:val="007A1F92"/>
    <w:rsid w:val="007A3581"/>
    <w:rsid w:val="007A4E1E"/>
    <w:rsid w:val="007A57CF"/>
    <w:rsid w:val="007A799F"/>
    <w:rsid w:val="007B2FF3"/>
    <w:rsid w:val="007B3292"/>
    <w:rsid w:val="007B503F"/>
    <w:rsid w:val="007B52D4"/>
    <w:rsid w:val="007B5DFC"/>
    <w:rsid w:val="007B671A"/>
    <w:rsid w:val="007B6CE3"/>
    <w:rsid w:val="007B7CF5"/>
    <w:rsid w:val="007C21C9"/>
    <w:rsid w:val="007C5B2E"/>
    <w:rsid w:val="007C62DB"/>
    <w:rsid w:val="007D01D9"/>
    <w:rsid w:val="007D2882"/>
    <w:rsid w:val="007D33FE"/>
    <w:rsid w:val="007D3D62"/>
    <w:rsid w:val="007D3F4C"/>
    <w:rsid w:val="007D3F62"/>
    <w:rsid w:val="007D4604"/>
    <w:rsid w:val="007D5489"/>
    <w:rsid w:val="007D72FF"/>
    <w:rsid w:val="007D7608"/>
    <w:rsid w:val="007E08E0"/>
    <w:rsid w:val="007E25D3"/>
    <w:rsid w:val="007E2DE6"/>
    <w:rsid w:val="007E54BA"/>
    <w:rsid w:val="007E740C"/>
    <w:rsid w:val="007E7B52"/>
    <w:rsid w:val="007F17CE"/>
    <w:rsid w:val="007F196D"/>
    <w:rsid w:val="007F3AB2"/>
    <w:rsid w:val="007F3E14"/>
    <w:rsid w:val="007F4FCC"/>
    <w:rsid w:val="007F6824"/>
    <w:rsid w:val="007F72A8"/>
    <w:rsid w:val="007F7F2C"/>
    <w:rsid w:val="008015C5"/>
    <w:rsid w:val="00803E3D"/>
    <w:rsid w:val="00804AAA"/>
    <w:rsid w:val="00805349"/>
    <w:rsid w:val="008054BA"/>
    <w:rsid w:val="00806923"/>
    <w:rsid w:val="00806950"/>
    <w:rsid w:val="0080753A"/>
    <w:rsid w:val="0081171A"/>
    <w:rsid w:val="008124E7"/>
    <w:rsid w:val="00812F73"/>
    <w:rsid w:val="00814B6E"/>
    <w:rsid w:val="008153C3"/>
    <w:rsid w:val="008164AA"/>
    <w:rsid w:val="00817DBB"/>
    <w:rsid w:val="00821F0D"/>
    <w:rsid w:val="00823C18"/>
    <w:rsid w:val="00827FCF"/>
    <w:rsid w:val="008308FE"/>
    <w:rsid w:val="00833EAE"/>
    <w:rsid w:val="008356E5"/>
    <w:rsid w:val="00836841"/>
    <w:rsid w:val="00836D8A"/>
    <w:rsid w:val="00837688"/>
    <w:rsid w:val="00837A30"/>
    <w:rsid w:val="00837E25"/>
    <w:rsid w:val="00840347"/>
    <w:rsid w:val="00842566"/>
    <w:rsid w:val="00844421"/>
    <w:rsid w:val="00844BA8"/>
    <w:rsid w:val="00845A0C"/>
    <w:rsid w:val="008469A1"/>
    <w:rsid w:val="0084721D"/>
    <w:rsid w:val="00847A92"/>
    <w:rsid w:val="00853C7B"/>
    <w:rsid w:val="0085443E"/>
    <w:rsid w:val="008555AD"/>
    <w:rsid w:val="00861901"/>
    <w:rsid w:val="00864E40"/>
    <w:rsid w:val="008678D8"/>
    <w:rsid w:val="00867AE4"/>
    <w:rsid w:val="008715AC"/>
    <w:rsid w:val="00871703"/>
    <w:rsid w:val="00876AAC"/>
    <w:rsid w:val="0088161E"/>
    <w:rsid w:val="008820B5"/>
    <w:rsid w:val="0088225E"/>
    <w:rsid w:val="00882932"/>
    <w:rsid w:val="0088340C"/>
    <w:rsid w:val="00884B09"/>
    <w:rsid w:val="00887AC1"/>
    <w:rsid w:val="00893B03"/>
    <w:rsid w:val="00894157"/>
    <w:rsid w:val="00894671"/>
    <w:rsid w:val="00894D4C"/>
    <w:rsid w:val="008953D6"/>
    <w:rsid w:val="00897F5A"/>
    <w:rsid w:val="008A4B6B"/>
    <w:rsid w:val="008A5C1F"/>
    <w:rsid w:val="008B0264"/>
    <w:rsid w:val="008B07B1"/>
    <w:rsid w:val="008B0E20"/>
    <w:rsid w:val="008B1E54"/>
    <w:rsid w:val="008B2265"/>
    <w:rsid w:val="008B2319"/>
    <w:rsid w:val="008B2CC6"/>
    <w:rsid w:val="008B30AC"/>
    <w:rsid w:val="008B375A"/>
    <w:rsid w:val="008B7053"/>
    <w:rsid w:val="008B70B9"/>
    <w:rsid w:val="008C6A71"/>
    <w:rsid w:val="008D0B30"/>
    <w:rsid w:val="008D3633"/>
    <w:rsid w:val="008D3CC8"/>
    <w:rsid w:val="008D53DD"/>
    <w:rsid w:val="008D5703"/>
    <w:rsid w:val="008D6E4E"/>
    <w:rsid w:val="008D76C1"/>
    <w:rsid w:val="008D79D3"/>
    <w:rsid w:val="008E0B03"/>
    <w:rsid w:val="008E1580"/>
    <w:rsid w:val="008E2F3D"/>
    <w:rsid w:val="008E3ABD"/>
    <w:rsid w:val="008E44FC"/>
    <w:rsid w:val="008E67E6"/>
    <w:rsid w:val="008E7DF5"/>
    <w:rsid w:val="008F1595"/>
    <w:rsid w:val="008F165B"/>
    <w:rsid w:val="008F50D9"/>
    <w:rsid w:val="008F6671"/>
    <w:rsid w:val="00901D7F"/>
    <w:rsid w:val="009033ED"/>
    <w:rsid w:val="00904755"/>
    <w:rsid w:val="00904AEB"/>
    <w:rsid w:val="00906FD7"/>
    <w:rsid w:val="00910586"/>
    <w:rsid w:val="0091072D"/>
    <w:rsid w:val="00914523"/>
    <w:rsid w:val="00920044"/>
    <w:rsid w:val="00920603"/>
    <w:rsid w:val="009217A4"/>
    <w:rsid w:val="00923A43"/>
    <w:rsid w:val="00926B2C"/>
    <w:rsid w:val="00926DC6"/>
    <w:rsid w:val="00927B59"/>
    <w:rsid w:val="00931359"/>
    <w:rsid w:val="0093252C"/>
    <w:rsid w:val="00932DCB"/>
    <w:rsid w:val="009351D3"/>
    <w:rsid w:val="00940A66"/>
    <w:rsid w:val="00945AEC"/>
    <w:rsid w:val="00945C3F"/>
    <w:rsid w:val="0094644C"/>
    <w:rsid w:val="00955D6A"/>
    <w:rsid w:val="00955EC6"/>
    <w:rsid w:val="00956D36"/>
    <w:rsid w:val="009612B5"/>
    <w:rsid w:val="00961AD1"/>
    <w:rsid w:val="009623D5"/>
    <w:rsid w:val="00962EDA"/>
    <w:rsid w:val="00963044"/>
    <w:rsid w:val="00963882"/>
    <w:rsid w:val="00965CF2"/>
    <w:rsid w:val="00965EA4"/>
    <w:rsid w:val="00965F3B"/>
    <w:rsid w:val="00966005"/>
    <w:rsid w:val="00966920"/>
    <w:rsid w:val="009669C0"/>
    <w:rsid w:val="00970BDD"/>
    <w:rsid w:val="00970FDF"/>
    <w:rsid w:val="00971356"/>
    <w:rsid w:val="00971F71"/>
    <w:rsid w:val="009759CA"/>
    <w:rsid w:val="00976159"/>
    <w:rsid w:val="00976356"/>
    <w:rsid w:val="009765F0"/>
    <w:rsid w:val="00976752"/>
    <w:rsid w:val="00976D7D"/>
    <w:rsid w:val="009771C3"/>
    <w:rsid w:val="0097792B"/>
    <w:rsid w:val="00981EDB"/>
    <w:rsid w:val="00983C7B"/>
    <w:rsid w:val="0098547B"/>
    <w:rsid w:val="009871E0"/>
    <w:rsid w:val="0099116C"/>
    <w:rsid w:val="00994D78"/>
    <w:rsid w:val="0099627C"/>
    <w:rsid w:val="00997442"/>
    <w:rsid w:val="00997768"/>
    <w:rsid w:val="009A0B68"/>
    <w:rsid w:val="009A0E6D"/>
    <w:rsid w:val="009A2D29"/>
    <w:rsid w:val="009A50EF"/>
    <w:rsid w:val="009A79F4"/>
    <w:rsid w:val="009B0776"/>
    <w:rsid w:val="009B3021"/>
    <w:rsid w:val="009B3724"/>
    <w:rsid w:val="009B44AA"/>
    <w:rsid w:val="009C1A87"/>
    <w:rsid w:val="009C2E67"/>
    <w:rsid w:val="009C3053"/>
    <w:rsid w:val="009C58F0"/>
    <w:rsid w:val="009C637D"/>
    <w:rsid w:val="009C6469"/>
    <w:rsid w:val="009D026E"/>
    <w:rsid w:val="009D45AC"/>
    <w:rsid w:val="009D5206"/>
    <w:rsid w:val="009D6755"/>
    <w:rsid w:val="009D726C"/>
    <w:rsid w:val="009D7BD5"/>
    <w:rsid w:val="009E1C3C"/>
    <w:rsid w:val="009E2018"/>
    <w:rsid w:val="009E2D6C"/>
    <w:rsid w:val="009E6833"/>
    <w:rsid w:val="009F070D"/>
    <w:rsid w:val="009F165D"/>
    <w:rsid w:val="009F16B0"/>
    <w:rsid w:val="009F3C21"/>
    <w:rsid w:val="009F3D68"/>
    <w:rsid w:val="009F3F06"/>
    <w:rsid w:val="009F4996"/>
    <w:rsid w:val="009F5AC9"/>
    <w:rsid w:val="009F5ED1"/>
    <w:rsid w:val="009F72E3"/>
    <w:rsid w:val="00A00BA4"/>
    <w:rsid w:val="00A02611"/>
    <w:rsid w:val="00A02DA3"/>
    <w:rsid w:val="00A0379E"/>
    <w:rsid w:val="00A04212"/>
    <w:rsid w:val="00A07DB5"/>
    <w:rsid w:val="00A10084"/>
    <w:rsid w:val="00A11290"/>
    <w:rsid w:val="00A11CED"/>
    <w:rsid w:val="00A11F11"/>
    <w:rsid w:val="00A14327"/>
    <w:rsid w:val="00A20F39"/>
    <w:rsid w:val="00A21127"/>
    <w:rsid w:val="00A214B9"/>
    <w:rsid w:val="00A2248F"/>
    <w:rsid w:val="00A23FA3"/>
    <w:rsid w:val="00A24E95"/>
    <w:rsid w:val="00A24EF2"/>
    <w:rsid w:val="00A25E51"/>
    <w:rsid w:val="00A26EFD"/>
    <w:rsid w:val="00A3226C"/>
    <w:rsid w:val="00A32BDB"/>
    <w:rsid w:val="00A407B4"/>
    <w:rsid w:val="00A45B79"/>
    <w:rsid w:val="00A473C4"/>
    <w:rsid w:val="00A47669"/>
    <w:rsid w:val="00A500E0"/>
    <w:rsid w:val="00A5134C"/>
    <w:rsid w:val="00A54159"/>
    <w:rsid w:val="00A547C9"/>
    <w:rsid w:val="00A566C9"/>
    <w:rsid w:val="00A6139F"/>
    <w:rsid w:val="00A61B8E"/>
    <w:rsid w:val="00A63373"/>
    <w:rsid w:val="00A636BD"/>
    <w:rsid w:val="00A637A1"/>
    <w:rsid w:val="00A658DE"/>
    <w:rsid w:val="00A712D5"/>
    <w:rsid w:val="00A71811"/>
    <w:rsid w:val="00A72C3F"/>
    <w:rsid w:val="00A73054"/>
    <w:rsid w:val="00A734BB"/>
    <w:rsid w:val="00A750B9"/>
    <w:rsid w:val="00A758E4"/>
    <w:rsid w:val="00A83037"/>
    <w:rsid w:val="00A834CB"/>
    <w:rsid w:val="00A86D21"/>
    <w:rsid w:val="00A901EB"/>
    <w:rsid w:val="00A90ACC"/>
    <w:rsid w:val="00A90B0F"/>
    <w:rsid w:val="00A91D7E"/>
    <w:rsid w:val="00A95E42"/>
    <w:rsid w:val="00A97CA1"/>
    <w:rsid w:val="00A97D27"/>
    <w:rsid w:val="00AA018C"/>
    <w:rsid w:val="00AA24EF"/>
    <w:rsid w:val="00AA5940"/>
    <w:rsid w:val="00AA5E45"/>
    <w:rsid w:val="00AA6259"/>
    <w:rsid w:val="00AB0627"/>
    <w:rsid w:val="00AB15BA"/>
    <w:rsid w:val="00AB2643"/>
    <w:rsid w:val="00AC014F"/>
    <w:rsid w:val="00AC17C2"/>
    <w:rsid w:val="00AC3C19"/>
    <w:rsid w:val="00AC75CE"/>
    <w:rsid w:val="00AD2185"/>
    <w:rsid w:val="00AD47B8"/>
    <w:rsid w:val="00AD6621"/>
    <w:rsid w:val="00AD7D99"/>
    <w:rsid w:val="00AE4C30"/>
    <w:rsid w:val="00AE7824"/>
    <w:rsid w:val="00AF0F13"/>
    <w:rsid w:val="00AF489E"/>
    <w:rsid w:val="00AF49E1"/>
    <w:rsid w:val="00AF65A9"/>
    <w:rsid w:val="00B002FE"/>
    <w:rsid w:val="00B00630"/>
    <w:rsid w:val="00B023EA"/>
    <w:rsid w:val="00B030C8"/>
    <w:rsid w:val="00B04129"/>
    <w:rsid w:val="00B04DD1"/>
    <w:rsid w:val="00B05254"/>
    <w:rsid w:val="00B05AC8"/>
    <w:rsid w:val="00B05DF7"/>
    <w:rsid w:val="00B11A10"/>
    <w:rsid w:val="00B13001"/>
    <w:rsid w:val="00B136B6"/>
    <w:rsid w:val="00B1659F"/>
    <w:rsid w:val="00B1666F"/>
    <w:rsid w:val="00B21CC8"/>
    <w:rsid w:val="00B241A6"/>
    <w:rsid w:val="00B26F2C"/>
    <w:rsid w:val="00B272CA"/>
    <w:rsid w:val="00B30347"/>
    <w:rsid w:val="00B321ED"/>
    <w:rsid w:val="00B32A49"/>
    <w:rsid w:val="00B339B7"/>
    <w:rsid w:val="00B33D9F"/>
    <w:rsid w:val="00B35F02"/>
    <w:rsid w:val="00B36EE8"/>
    <w:rsid w:val="00B37E0B"/>
    <w:rsid w:val="00B41ADD"/>
    <w:rsid w:val="00B4554A"/>
    <w:rsid w:val="00B46754"/>
    <w:rsid w:val="00B46D1A"/>
    <w:rsid w:val="00B50FE7"/>
    <w:rsid w:val="00B515DC"/>
    <w:rsid w:val="00B56E84"/>
    <w:rsid w:val="00B61189"/>
    <w:rsid w:val="00B63563"/>
    <w:rsid w:val="00B63665"/>
    <w:rsid w:val="00B6446F"/>
    <w:rsid w:val="00B653AA"/>
    <w:rsid w:val="00B66256"/>
    <w:rsid w:val="00B67000"/>
    <w:rsid w:val="00B67595"/>
    <w:rsid w:val="00B70513"/>
    <w:rsid w:val="00B70CB1"/>
    <w:rsid w:val="00B762E5"/>
    <w:rsid w:val="00B77C16"/>
    <w:rsid w:val="00B846E7"/>
    <w:rsid w:val="00B849C4"/>
    <w:rsid w:val="00B90C4E"/>
    <w:rsid w:val="00B90F7D"/>
    <w:rsid w:val="00B93341"/>
    <w:rsid w:val="00B944F9"/>
    <w:rsid w:val="00B965F4"/>
    <w:rsid w:val="00BA3E08"/>
    <w:rsid w:val="00BA56CC"/>
    <w:rsid w:val="00BA61E1"/>
    <w:rsid w:val="00BB0206"/>
    <w:rsid w:val="00BB1297"/>
    <w:rsid w:val="00BB25D6"/>
    <w:rsid w:val="00BB2698"/>
    <w:rsid w:val="00BB3C9D"/>
    <w:rsid w:val="00BB46B8"/>
    <w:rsid w:val="00BC0368"/>
    <w:rsid w:val="00BC0735"/>
    <w:rsid w:val="00BC14BF"/>
    <w:rsid w:val="00BC2AE5"/>
    <w:rsid w:val="00BC4C24"/>
    <w:rsid w:val="00BC611C"/>
    <w:rsid w:val="00BC68B5"/>
    <w:rsid w:val="00BC715E"/>
    <w:rsid w:val="00BC7688"/>
    <w:rsid w:val="00BD1986"/>
    <w:rsid w:val="00BD2D1F"/>
    <w:rsid w:val="00BD34F6"/>
    <w:rsid w:val="00BD4A8B"/>
    <w:rsid w:val="00BD60C8"/>
    <w:rsid w:val="00BE1727"/>
    <w:rsid w:val="00BE1B05"/>
    <w:rsid w:val="00BE2AB3"/>
    <w:rsid w:val="00BE4867"/>
    <w:rsid w:val="00BE523D"/>
    <w:rsid w:val="00BE6A5C"/>
    <w:rsid w:val="00BE7DC7"/>
    <w:rsid w:val="00BF0CA0"/>
    <w:rsid w:val="00BF170D"/>
    <w:rsid w:val="00BF602D"/>
    <w:rsid w:val="00BF6C23"/>
    <w:rsid w:val="00BF7752"/>
    <w:rsid w:val="00BF7EA9"/>
    <w:rsid w:val="00C003E4"/>
    <w:rsid w:val="00C0042A"/>
    <w:rsid w:val="00C00ACD"/>
    <w:rsid w:val="00C04D59"/>
    <w:rsid w:val="00C074CE"/>
    <w:rsid w:val="00C10B56"/>
    <w:rsid w:val="00C114DB"/>
    <w:rsid w:val="00C12D8D"/>
    <w:rsid w:val="00C137DE"/>
    <w:rsid w:val="00C14849"/>
    <w:rsid w:val="00C16AEF"/>
    <w:rsid w:val="00C16CD7"/>
    <w:rsid w:val="00C16D40"/>
    <w:rsid w:val="00C17408"/>
    <w:rsid w:val="00C17E75"/>
    <w:rsid w:val="00C2019F"/>
    <w:rsid w:val="00C20F6D"/>
    <w:rsid w:val="00C21C8E"/>
    <w:rsid w:val="00C229D7"/>
    <w:rsid w:val="00C229E7"/>
    <w:rsid w:val="00C241AF"/>
    <w:rsid w:val="00C2421B"/>
    <w:rsid w:val="00C24254"/>
    <w:rsid w:val="00C2427C"/>
    <w:rsid w:val="00C24E1C"/>
    <w:rsid w:val="00C24F1E"/>
    <w:rsid w:val="00C27F99"/>
    <w:rsid w:val="00C31600"/>
    <w:rsid w:val="00C31D44"/>
    <w:rsid w:val="00C328F8"/>
    <w:rsid w:val="00C35890"/>
    <w:rsid w:val="00C406C8"/>
    <w:rsid w:val="00C407EF"/>
    <w:rsid w:val="00C43139"/>
    <w:rsid w:val="00C43D11"/>
    <w:rsid w:val="00C449C3"/>
    <w:rsid w:val="00C46932"/>
    <w:rsid w:val="00C5023A"/>
    <w:rsid w:val="00C50B41"/>
    <w:rsid w:val="00C51385"/>
    <w:rsid w:val="00C52F0C"/>
    <w:rsid w:val="00C56318"/>
    <w:rsid w:val="00C569AD"/>
    <w:rsid w:val="00C57BB6"/>
    <w:rsid w:val="00C61A8A"/>
    <w:rsid w:val="00C62FA8"/>
    <w:rsid w:val="00C70766"/>
    <w:rsid w:val="00C7217B"/>
    <w:rsid w:val="00C72A07"/>
    <w:rsid w:val="00C7385E"/>
    <w:rsid w:val="00C74A0E"/>
    <w:rsid w:val="00C753D6"/>
    <w:rsid w:val="00C7736B"/>
    <w:rsid w:val="00C8158C"/>
    <w:rsid w:val="00C83658"/>
    <w:rsid w:val="00C84910"/>
    <w:rsid w:val="00C8597A"/>
    <w:rsid w:val="00C86110"/>
    <w:rsid w:val="00C916BC"/>
    <w:rsid w:val="00C925BD"/>
    <w:rsid w:val="00C94AC5"/>
    <w:rsid w:val="00C96531"/>
    <w:rsid w:val="00C96830"/>
    <w:rsid w:val="00CA0E59"/>
    <w:rsid w:val="00CA103D"/>
    <w:rsid w:val="00CA14B6"/>
    <w:rsid w:val="00CA19F9"/>
    <w:rsid w:val="00CA3202"/>
    <w:rsid w:val="00CA3C31"/>
    <w:rsid w:val="00CA4A69"/>
    <w:rsid w:val="00CA6208"/>
    <w:rsid w:val="00CA661B"/>
    <w:rsid w:val="00CA684A"/>
    <w:rsid w:val="00CB2C68"/>
    <w:rsid w:val="00CB693D"/>
    <w:rsid w:val="00CB7426"/>
    <w:rsid w:val="00CC0FBF"/>
    <w:rsid w:val="00CC210C"/>
    <w:rsid w:val="00CC3E03"/>
    <w:rsid w:val="00CC4573"/>
    <w:rsid w:val="00CC5053"/>
    <w:rsid w:val="00CD32F0"/>
    <w:rsid w:val="00CD3365"/>
    <w:rsid w:val="00CD4D48"/>
    <w:rsid w:val="00CD5871"/>
    <w:rsid w:val="00CD7B2A"/>
    <w:rsid w:val="00CE2A61"/>
    <w:rsid w:val="00CE38C3"/>
    <w:rsid w:val="00CE7E2C"/>
    <w:rsid w:val="00CF088E"/>
    <w:rsid w:val="00CF3BCC"/>
    <w:rsid w:val="00CF4F51"/>
    <w:rsid w:val="00CF69F4"/>
    <w:rsid w:val="00CF7FA5"/>
    <w:rsid w:val="00D03551"/>
    <w:rsid w:val="00D04496"/>
    <w:rsid w:val="00D0548A"/>
    <w:rsid w:val="00D0691C"/>
    <w:rsid w:val="00D0698B"/>
    <w:rsid w:val="00D071BE"/>
    <w:rsid w:val="00D077DB"/>
    <w:rsid w:val="00D07D45"/>
    <w:rsid w:val="00D10C50"/>
    <w:rsid w:val="00D143BA"/>
    <w:rsid w:val="00D14700"/>
    <w:rsid w:val="00D16273"/>
    <w:rsid w:val="00D2081B"/>
    <w:rsid w:val="00D20D98"/>
    <w:rsid w:val="00D214E7"/>
    <w:rsid w:val="00D2272A"/>
    <w:rsid w:val="00D23299"/>
    <w:rsid w:val="00D24DDA"/>
    <w:rsid w:val="00D25C8D"/>
    <w:rsid w:val="00D260A2"/>
    <w:rsid w:val="00D3168A"/>
    <w:rsid w:val="00D31AB7"/>
    <w:rsid w:val="00D31D09"/>
    <w:rsid w:val="00D334B3"/>
    <w:rsid w:val="00D402E8"/>
    <w:rsid w:val="00D422A9"/>
    <w:rsid w:val="00D43FB6"/>
    <w:rsid w:val="00D45336"/>
    <w:rsid w:val="00D45D62"/>
    <w:rsid w:val="00D47B1E"/>
    <w:rsid w:val="00D50265"/>
    <w:rsid w:val="00D50B6A"/>
    <w:rsid w:val="00D52374"/>
    <w:rsid w:val="00D52679"/>
    <w:rsid w:val="00D526CE"/>
    <w:rsid w:val="00D52E80"/>
    <w:rsid w:val="00D55CBC"/>
    <w:rsid w:val="00D576B6"/>
    <w:rsid w:val="00D576BB"/>
    <w:rsid w:val="00D60489"/>
    <w:rsid w:val="00D61020"/>
    <w:rsid w:val="00D61791"/>
    <w:rsid w:val="00D6475F"/>
    <w:rsid w:val="00D66990"/>
    <w:rsid w:val="00D66C3F"/>
    <w:rsid w:val="00D72AF7"/>
    <w:rsid w:val="00D7330F"/>
    <w:rsid w:val="00D81465"/>
    <w:rsid w:val="00D81AC0"/>
    <w:rsid w:val="00D828F7"/>
    <w:rsid w:val="00D82FF7"/>
    <w:rsid w:val="00D84C04"/>
    <w:rsid w:val="00D86E0F"/>
    <w:rsid w:val="00D87B19"/>
    <w:rsid w:val="00D938A0"/>
    <w:rsid w:val="00D94A0D"/>
    <w:rsid w:val="00D94ACE"/>
    <w:rsid w:val="00D95605"/>
    <w:rsid w:val="00D97FE8"/>
    <w:rsid w:val="00DA0A9C"/>
    <w:rsid w:val="00DA1335"/>
    <w:rsid w:val="00DA2EB8"/>
    <w:rsid w:val="00DA6CC6"/>
    <w:rsid w:val="00DA7821"/>
    <w:rsid w:val="00DA7B56"/>
    <w:rsid w:val="00DB0F82"/>
    <w:rsid w:val="00DB2BA2"/>
    <w:rsid w:val="00DB32FF"/>
    <w:rsid w:val="00DB67ED"/>
    <w:rsid w:val="00DB70B1"/>
    <w:rsid w:val="00DC00C4"/>
    <w:rsid w:val="00DC0177"/>
    <w:rsid w:val="00DC0918"/>
    <w:rsid w:val="00DC16D9"/>
    <w:rsid w:val="00DC40E3"/>
    <w:rsid w:val="00DC5C61"/>
    <w:rsid w:val="00DC5C98"/>
    <w:rsid w:val="00DD062D"/>
    <w:rsid w:val="00DD09D1"/>
    <w:rsid w:val="00DD0B86"/>
    <w:rsid w:val="00DD3E93"/>
    <w:rsid w:val="00DD4225"/>
    <w:rsid w:val="00DD4411"/>
    <w:rsid w:val="00DD4AD0"/>
    <w:rsid w:val="00DD5411"/>
    <w:rsid w:val="00DE03AE"/>
    <w:rsid w:val="00DE2B97"/>
    <w:rsid w:val="00DE3DA9"/>
    <w:rsid w:val="00DE50F9"/>
    <w:rsid w:val="00DE5759"/>
    <w:rsid w:val="00DE5D1D"/>
    <w:rsid w:val="00DE720A"/>
    <w:rsid w:val="00DE75EF"/>
    <w:rsid w:val="00DF287F"/>
    <w:rsid w:val="00DF2C88"/>
    <w:rsid w:val="00DF63FA"/>
    <w:rsid w:val="00DF7296"/>
    <w:rsid w:val="00E00F33"/>
    <w:rsid w:val="00E0206E"/>
    <w:rsid w:val="00E02229"/>
    <w:rsid w:val="00E031AF"/>
    <w:rsid w:val="00E0407A"/>
    <w:rsid w:val="00E05734"/>
    <w:rsid w:val="00E10937"/>
    <w:rsid w:val="00E1229C"/>
    <w:rsid w:val="00E131F9"/>
    <w:rsid w:val="00E158D8"/>
    <w:rsid w:val="00E163DB"/>
    <w:rsid w:val="00E16F4F"/>
    <w:rsid w:val="00E170AC"/>
    <w:rsid w:val="00E2037F"/>
    <w:rsid w:val="00E208C9"/>
    <w:rsid w:val="00E22E48"/>
    <w:rsid w:val="00E238A6"/>
    <w:rsid w:val="00E23A74"/>
    <w:rsid w:val="00E25B01"/>
    <w:rsid w:val="00E27E14"/>
    <w:rsid w:val="00E30FC5"/>
    <w:rsid w:val="00E352B7"/>
    <w:rsid w:val="00E35EAB"/>
    <w:rsid w:val="00E41089"/>
    <w:rsid w:val="00E433A8"/>
    <w:rsid w:val="00E43B3A"/>
    <w:rsid w:val="00E5052C"/>
    <w:rsid w:val="00E50953"/>
    <w:rsid w:val="00E51A1E"/>
    <w:rsid w:val="00E54C3C"/>
    <w:rsid w:val="00E550EE"/>
    <w:rsid w:val="00E639D0"/>
    <w:rsid w:val="00E658BE"/>
    <w:rsid w:val="00E66188"/>
    <w:rsid w:val="00E71347"/>
    <w:rsid w:val="00E71371"/>
    <w:rsid w:val="00E726CD"/>
    <w:rsid w:val="00E75852"/>
    <w:rsid w:val="00E7595D"/>
    <w:rsid w:val="00E76675"/>
    <w:rsid w:val="00E80B4B"/>
    <w:rsid w:val="00E8575D"/>
    <w:rsid w:val="00E877A7"/>
    <w:rsid w:val="00E91DE9"/>
    <w:rsid w:val="00E92133"/>
    <w:rsid w:val="00E97B60"/>
    <w:rsid w:val="00EA1905"/>
    <w:rsid w:val="00EA1E4E"/>
    <w:rsid w:val="00EA2ABF"/>
    <w:rsid w:val="00EA52DD"/>
    <w:rsid w:val="00EA546F"/>
    <w:rsid w:val="00EA5FB9"/>
    <w:rsid w:val="00EA6163"/>
    <w:rsid w:val="00EA72D7"/>
    <w:rsid w:val="00EA7D24"/>
    <w:rsid w:val="00EB0C61"/>
    <w:rsid w:val="00EB0F96"/>
    <w:rsid w:val="00EB146A"/>
    <w:rsid w:val="00EB56B5"/>
    <w:rsid w:val="00EC0AE4"/>
    <w:rsid w:val="00EC0CAA"/>
    <w:rsid w:val="00EC23BB"/>
    <w:rsid w:val="00EC3D17"/>
    <w:rsid w:val="00EC65D3"/>
    <w:rsid w:val="00EC7B1C"/>
    <w:rsid w:val="00ED04F0"/>
    <w:rsid w:val="00ED094F"/>
    <w:rsid w:val="00ED1068"/>
    <w:rsid w:val="00ED16D3"/>
    <w:rsid w:val="00ED1D00"/>
    <w:rsid w:val="00ED4340"/>
    <w:rsid w:val="00ED6FD8"/>
    <w:rsid w:val="00EE17AF"/>
    <w:rsid w:val="00EE4390"/>
    <w:rsid w:val="00EE4518"/>
    <w:rsid w:val="00EE5235"/>
    <w:rsid w:val="00EE5E81"/>
    <w:rsid w:val="00EE725F"/>
    <w:rsid w:val="00EF0AB4"/>
    <w:rsid w:val="00EF1005"/>
    <w:rsid w:val="00EF32D8"/>
    <w:rsid w:val="00EF458E"/>
    <w:rsid w:val="00EF4A8B"/>
    <w:rsid w:val="00EF79AA"/>
    <w:rsid w:val="00F02A68"/>
    <w:rsid w:val="00F05587"/>
    <w:rsid w:val="00F06349"/>
    <w:rsid w:val="00F10A5F"/>
    <w:rsid w:val="00F11C8B"/>
    <w:rsid w:val="00F15BF4"/>
    <w:rsid w:val="00F16181"/>
    <w:rsid w:val="00F1643B"/>
    <w:rsid w:val="00F16F68"/>
    <w:rsid w:val="00F178C1"/>
    <w:rsid w:val="00F20FB0"/>
    <w:rsid w:val="00F22C9E"/>
    <w:rsid w:val="00F2433C"/>
    <w:rsid w:val="00F24ADA"/>
    <w:rsid w:val="00F261D8"/>
    <w:rsid w:val="00F26206"/>
    <w:rsid w:val="00F314E8"/>
    <w:rsid w:val="00F33697"/>
    <w:rsid w:val="00F34EAB"/>
    <w:rsid w:val="00F35A69"/>
    <w:rsid w:val="00F368E5"/>
    <w:rsid w:val="00F36EF4"/>
    <w:rsid w:val="00F3705E"/>
    <w:rsid w:val="00F40801"/>
    <w:rsid w:val="00F4235D"/>
    <w:rsid w:val="00F43FA9"/>
    <w:rsid w:val="00F44084"/>
    <w:rsid w:val="00F44FA8"/>
    <w:rsid w:val="00F4539B"/>
    <w:rsid w:val="00F4554F"/>
    <w:rsid w:val="00F50988"/>
    <w:rsid w:val="00F5264B"/>
    <w:rsid w:val="00F53E53"/>
    <w:rsid w:val="00F54FF4"/>
    <w:rsid w:val="00F55822"/>
    <w:rsid w:val="00F55A25"/>
    <w:rsid w:val="00F55E71"/>
    <w:rsid w:val="00F60B73"/>
    <w:rsid w:val="00F622D9"/>
    <w:rsid w:val="00F62342"/>
    <w:rsid w:val="00F657AA"/>
    <w:rsid w:val="00F67298"/>
    <w:rsid w:val="00F703FC"/>
    <w:rsid w:val="00F71073"/>
    <w:rsid w:val="00F72C20"/>
    <w:rsid w:val="00F803A0"/>
    <w:rsid w:val="00F8071B"/>
    <w:rsid w:val="00F8106F"/>
    <w:rsid w:val="00F8437C"/>
    <w:rsid w:val="00F854B2"/>
    <w:rsid w:val="00F85D57"/>
    <w:rsid w:val="00F85DA0"/>
    <w:rsid w:val="00F866CD"/>
    <w:rsid w:val="00F90DB7"/>
    <w:rsid w:val="00F92760"/>
    <w:rsid w:val="00F92D63"/>
    <w:rsid w:val="00F94FB7"/>
    <w:rsid w:val="00F96486"/>
    <w:rsid w:val="00F971CB"/>
    <w:rsid w:val="00FA28C1"/>
    <w:rsid w:val="00FA3C20"/>
    <w:rsid w:val="00FA3DFA"/>
    <w:rsid w:val="00FB203E"/>
    <w:rsid w:val="00FB364F"/>
    <w:rsid w:val="00FB463F"/>
    <w:rsid w:val="00FB62F3"/>
    <w:rsid w:val="00FB78C7"/>
    <w:rsid w:val="00FC1D8A"/>
    <w:rsid w:val="00FC31F6"/>
    <w:rsid w:val="00FC3A11"/>
    <w:rsid w:val="00FC3C8A"/>
    <w:rsid w:val="00FC4C9C"/>
    <w:rsid w:val="00FC6C05"/>
    <w:rsid w:val="00FD295C"/>
    <w:rsid w:val="00FD402E"/>
    <w:rsid w:val="00FD50C2"/>
    <w:rsid w:val="00FD62A5"/>
    <w:rsid w:val="00FD791F"/>
    <w:rsid w:val="00FD7F77"/>
    <w:rsid w:val="00FE0C28"/>
    <w:rsid w:val="00FE324D"/>
    <w:rsid w:val="00FE3E12"/>
    <w:rsid w:val="00FE67CE"/>
    <w:rsid w:val="00FE6C67"/>
    <w:rsid w:val="00FF054A"/>
    <w:rsid w:val="00FF0713"/>
    <w:rsid w:val="00FF589C"/>
    <w:rsid w:val="00FF63E2"/>
    <w:rsid w:val="00FF723C"/>
    <w:rsid w:val="00FF73F9"/>
    <w:rsid w:val="00FF78D0"/>
    <w:rsid w:val="00FF7C0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E48"/>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MS Mincho"/>
      <w:color w:val="000000"/>
      <w:spacing w:val="1"/>
      <w:sz w:val="17"/>
      <w:szCs w:val="17"/>
      <w:lang w:eastAsia="ja-JP"/>
    </w:rPr>
  </w:style>
  <w:style w:type="paragraph" w:styleId="1">
    <w:name w:val="heading 1"/>
    <w:basedOn w:val="a"/>
    <w:next w:val="a"/>
    <w:link w:val="10"/>
    <w:qFormat/>
    <w:rsid w:val="008B1E54"/>
    <w:pPr>
      <w:keepNext/>
      <w:widowControl/>
      <w:autoSpaceDE/>
      <w:autoSpaceDN/>
      <w:adjustRightInd/>
      <w:spacing w:before="60" w:after="60" w:line="240" w:lineRule="auto"/>
      <w:ind w:firstLine="0"/>
      <w:jc w:val="left"/>
      <w:textAlignment w:val="auto"/>
      <w:outlineLvl w:val="0"/>
    </w:pPr>
    <w:rPr>
      <w:rFonts w:ascii="Times New Roman" w:eastAsia="Times New Roman" w:hAnsi="Times New Roman" w:cs="David"/>
      <w:b/>
      <w:bCs/>
      <w:color w:val="auto"/>
      <w:spacing w:val="10"/>
      <w:sz w:val="22"/>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HatzaotHok">
    <w:name w:val="Head HatzaotHok"/>
    <w:basedOn w:val="a"/>
    <w:uiPriority w:val="99"/>
    <w:rsid w:val="00E22E48"/>
    <w:pPr>
      <w:keepNext/>
      <w:keepLines/>
      <w:snapToGrid w:val="0"/>
      <w:spacing w:before="240" w:line="360" w:lineRule="auto"/>
      <w:ind w:firstLine="0"/>
      <w:jc w:val="center"/>
    </w:pPr>
    <w:rPr>
      <w:rFonts w:ascii="Arial" w:eastAsia="Arial Unicode MS" w:hAnsi="Arial" w:cs="Arial Unicode MS"/>
      <w:b/>
      <w:bCs/>
      <w:spacing w:val="0"/>
      <w:sz w:val="20"/>
      <w:szCs w:val="26"/>
    </w:rPr>
  </w:style>
  <w:style w:type="paragraph" w:customStyle="1" w:styleId="TableText">
    <w:name w:val="Table Text"/>
    <w:basedOn w:val="a"/>
    <w:uiPriority w:val="99"/>
    <w:rsid w:val="00E22E48"/>
    <w:pPr>
      <w:keepLines/>
      <w:tabs>
        <w:tab w:val="left" w:pos="624"/>
        <w:tab w:val="left" w:pos="1247"/>
      </w:tabs>
      <w:snapToGrid w:val="0"/>
      <w:spacing w:before="0" w:line="360" w:lineRule="auto"/>
      <w:ind w:right="57" w:firstLine="0"/>
      <w:jc w:val="left"/>
    </w:pPr>
    <w:rPr>
      <w:rFonts w:ascii="Arial" w:eastAsia="Arial Unicode MS" w:hAnsi="Arial" w:cs="Arial Unicode MS"/>
      <w:spacing w:val="0"/>
      <w:sz w:val="20"/>
      <w:szCs w:val="26"/>
    </w:rPr>
  </w:style>
  <w:style w:type="paragraph" w:customStyle="1" w:styleId="TableSideHeading">
    <w:name w:val="Table SideHeading"/>
    <w:basedOn w:val="TableText"/>
    <w:uiPriority w:val="99"/>
    <w:rsid w:val="00E22E48"/>
  </w:style>
  <w:style w:type="paragraph" w:customStyle="1" w:styleId="TableBlock">
    <w:name w:val="Table Block"/>
    <w:basedOn w:val="TableText"/>
    <w:uiPriority w:val="99"/>
    <w:rsid w:val="00E22E48"/>
    <w:pPr>
      <w:ind w:right="0"/>
      <w:jc w:val="both"/>
    </w:pPr>
  </w:style>
  <w:style w:type="paragraph" w:customStyle="1" w:styleId="Hesber">
    <w:name w:val="Hesber"/>
    <w:basedOn w:val="a"/>
    <w:uiPriority w:val="99"/>
    <w:rsid w:val="00E22E48"/>
    <w:pPr>
      <w:snapToGrid w:val="0"/>
      <w:spacing w:before="0" w:line="360" w:lineRule="auto"/>
    </w:pPr>
    <w:rPr>
      <w:rFonts w:ascii="Arial" w:eastAsia="Arial Unicode MS" w:hAnsi="Arial" w:cs="Arial Unicode MS"/>
      <w:spacing w:val="0"/>
      <w:sz w:val="20"/>
      <w:szCs w:val="26"/>
    </w:rPr>
  </w:style>
  <w:style w:type="paragraph" w:styleId="a3">
    <w:name w:val="footnote text"/>
    <w:basedOn w:val="a"/>
    <w:link w:val="a4"/>
    <w:autoRedefine/>
    <w:uiPriority w:val="99"/>
    <w:rsid w:val="00E22E48"/>
    <w:pPr>
      <w:snapToGrid w:val="0"/>
      <w:spacing w:before="0" w:line="240" w:lineRule="auto"/>
      <w:ind w:left="227" w:hanging="227"/>
      <w:jc w:val="left"/>
    </w:pPr>
    <w:rPr>
      <w:rFonts w:ascii="Arial" w:eastAsia="Arial Unicode MS" w:hAnsi="Arial" w:cs="Arial Unicode MS"/>
      <w:spacing w:val="0"/>
      <w:sz w:val="14"/>
      <w:szCs w:val="20"/>
    </w:rPr>
  </w:style>
  <w:style w:type="character" w:customStyle="1" w:styleId="a4">
    <w:name w:val="טקסט הערת שוליים תו"/>
    <w:basedOn w:val="a0"/>
    <w:link w:val="a3"/>
    <w:uiPriority w:val="99"/>
    <w:rsid w:val="00E22E48"/>
    <w:rPr>
      <w:rFonts w:ascii="Arial" w:eastAsia="Arial Unicode MS" w:hAnsi="Arial" w:cs="Arial Unicode MS"/>
      <w:color w:val="000000"/>
      <w:sz w:val="14"/>
      <w:szCs w:val="20"/>
      <w:lang w:eastAsia="ja-JP"/>
    </w:rPr>
  </w:style>
  <w:style w:type="character" w:styleId="a5">
    <w:name w:val="footnote reference"/>
    <w:basedOn w:val="a0"/>
    <w:uiPriority w:val="99"/>
    <w:rsid w:val="00E22E48"/>
    <w:rPr>
      <w:rFonts w:cs="Times New Roman"/>
      <w:vertAlign w:val="superscript"/>
    </w:rPr>
  </w:style>
  <w:style w:type="paragraph" w:styleId="a6">
    <w:name w:val="footer"/>
    <w:basedOn w:val="a"/>
    <w:link w:val="a7"/>
    <w:uiPriority w:val="99"/>
    <w:rsid w:val="00E22E48"/>
    <w:pPr>
      <w:tabs>
        <w:tab w:val="center" w:pos="4153"/>
        <w:tab w:val="right" w:pos="8306"/>
      </w:tabs>
    </w:pPr>
  </w:style>
  <w:style w:type="character" w:customStyle="1" w:styleId="a7">
    <w:name w:val="כותרת תחתונה תו"/>
    <w:basedOn w:val="a0"/>
    <w:link w:val="a6"/>
    <w:uiPriority w:val="99"/>
    <w:rsid w:val="00E22E48"/>
    <w:rPr>
      <w:rFonts w:ascii="Hadasa Roso SL" w:eastAsia="MS Mincho" w:hAnsi="Hadasa Roso SL" w:cs="MS Mincho"/>
      <w:color w:val="000000"/>
      <w:spacing w:val="1"/>
      <w:sz w:val="17"/>
      <w:szCs w:val="17"/>
      <w:lang w:eastAsia="ja-JP"/>
    </w:rPr>
  </w:style>
  <w:style w:type="paragraph" w:customStyle="1" w:styleId="HeadDivreiHesber">
    <w:name w:val="Head DivreiHesber"/>
    <w:basedOn w:val="a"/>
    <w:uiPriority w:val="99"/>
    <w:rsid w:val="00E22E48"/>
    <w:pPr>
      <w:snapToGrid w:val="0"/>
      <w:spacing w:before="360" w:after="120" w:line="360" w:lineRule="auto"/>
      <w:ind w:firstLine="0"/>
      <w:jc w:val="center"/>
    </w:pPr>
    <w:rPr>
      <w:rFonts w:ascii="Arial" w:eastAsia="Arial Unicode MS" w:hAnsi="Arial" w:cs="Arial Unicode MS"/>
      <w:b/>
      <w:spacing w:val="40"/>
      <w:sz w:val="20"/>
      <w:szCs w:val="26"/>
    </w:rPr>
  </w:style>
  <w:style w:type="character" w:styleId="a8">
    <w:name w:val="page number"/>
    <w:basedOn w:val="a0"/>
    <w:uiPriority w:val="99"/>
    <w:rsid w:val="00E22E48"/>
    <w:rPr>
      <w:rFonts w:cs="Times New Roman"/>
    </w:rPr>
  </w:style>
  <w:style w:type="paragraph" w:customStyle="1" w:styleId="David">
    <w:name w:val="רגיל + (עברית ושפות אחרות) David"/>
    <w:aliases w:val="‏13 נק',מודגש,אחרי:  6 נק'"/>
    <w:basedOn w:val="a"/>
    <w:uiPriority w:val="99"/>
    <w:rsid w:val="00E22E48"/>
    <w:pPr>
      <w:ind w:firstLine="0"/>
      <w:jc w:val="left"/>
    </w:pPr>
    <w:rPr>
      <w:sz w:val="26"/>
      <w:szCs w:val="26"/>
    </w:rPr>
  </w:style>
  <w:style w:type="paragraph" w:customStyle="1" w:styleId="NormalPar">
    <w:name w:val="NormalPar"/>
    <w:rsid w:val="001D7C44"/>
    <w:pPr>
      <w:autoSpaceDE w:val="0"/>
      <w:autoSpaceDN w:val="0"/>
      <w:bidi/>
      <w:spacing w:after="0" w:line="240" w:lineRule="auto"/>
    </w:pPr>
    <w:rPr>
      <w:rFonts w:ascii="Times New Roman" w:eastAsia="Times New Roman" w:hAnsi="Times New Roman" w:cs="Times New Roman"/>
      <w:sz w:val="24"/>
      <w:szCs w:val="24"/>
      <w:lang w:eastAsia="he-IL"/>
    </w:rPr>
  </w:style>
  <w:style w:type="character" w:customStyle="1" w:styleId="apple-style-span">
    <w:name w:val="apple-style-span"/>
    <w:basedOn w:val="a0"/>
    <w:rsid w:val="001D7C44"/>
  </w:style>
  <w:style w:type="character" w:customStyle="1" w:styleId="10">
    <w:name w:val="כותרת 1 תו"/>
    <w:basedOn w:val="a0"/>
    <w:link w:val="1"/>
    <w:rsid w:val="008B1E54"/>
    <w:rPr>
      <w:rFonts w:ascii="Times New Roman" w:eastAsia="Times New Roman" w:hAnsi="Times New Roman" w:cs="David"/>
      <w:b/>
      <w:bCs/>
      <w:spacing w:val="10"/>
      <w:lang w:eastAsia="he-IL"/>
    </w:rPr>
  </w:style>
  <w:style w:type="character" w:customStyle="1" w:styleId="main">
    <w:name w:val="main"/>
    <w:basedOn w:val="a0"/>
    <w:rsid w:val="008B1E54"/>
  </w:style>
  <w:style w:type="character" w:customStyle="1" w:styleId="HebrewChar">
    <w:name w:val="Hebrew_Char"/>
    <w:rsid w:val="008B1E54"/>
    <w:rPr>
      <w:rFonts w:cs="David"/>
      <w:lang w:bidi="he-IL"/>
    </w:rPr>
  </w:style>
  <w:style w:type="paragraph" w:styleId="a9">
    <w:name w:val="header"/>
    <w:basedOn w:val="a"/>
    <w:link w:val="aa"/>
    <w:rsid w:val="00A95E42"/>
    <w:pPr>
      <w:widowControl/>
      <w:tabs>
        <w:tab w:val="center" w:pos="4153"/>
        <w:tab w:val="right" w:pos="8306"/>
      </w:tabs>
      <w:autoSpaceDE/>
      <w:autoSpaceDN/>
      <w:adjustRightInd/>
      <w:spacing w:before="0" w:line="240" w:lineRule="auto"/>
      <w:ind w:firstLine="0"/>
      <w:jc w:val="left"/>
      <w:textAlignment w:val="auto"/>
    </w:pPr>
    <w:rPr>
      <w:rFonts w:ascii="David" w:eastAsia="David" w:hAnsi="David" w:cs="David"/>
      <w:color w:val="auto"/>
      <w:spacing w:val="0"/>
      <w:sz w:val="24"/>
      <w:szCs w:val="24"/>
      <w:lang w:eastAsia="en-US"/>
    </w:rPr>
  </w:style>
  <w:style w:type="character" w:customStyle="1" w:styleId="aa">
    <w:name w:val="כותרת עליונה תו"/>
    <w:basedOn w:val="a0"/>
    <w:link w:val="a9"/>
    <w:rsid w:val="00A95E42"/>
    <w:rPr>
      <w:rFonts w:ascii="David" w:eastAsia="David" w:hAnsi="David" w:cs="David"/>
      <w:sz w:val="24"/>
      <w:szCs w:val="24"/>
    </w:rPr>
  </w:style>
  <w:style w:type="table" w:styleId="ab">
    <w:name w:val="Table Grid"/>
    <w:basedOn w:val="a1"/>
    <w:rsid w:val="00A95E42"/>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רגיל + ‏12 נק'"/>
    <w:aliases w:val="מיושר לשני הצדדים,מרווח בין שורות:  שורה וחצי"/>
    <w:basedOn w:val="a"/>
    <w:rsid w:val="00A95E42"/>
    <w:pPr>
      <w:widowControl/>
      <w:autoSpaceDE/>
      <w:autoSpaceDN/>
      <w:adjustRightInd/>
      <w:spacing w:before="0" w:line="240" w:lineRule="auto"/>
      <w:ind w:firstLine="0"/>
      <w:jc w:val="left"/>
      <w:textAlignment w:val="auto"/>
    </w:pPr>
    <w:rPr>
      <w:rFonts w:ascii="Times New Roman" w:eastAsia="Times New Roman" w:hAnsi="Times New Roman" w:cs="David"/>
      <w:b/>
      <w:bCs/>
      <w:color w:val="auto"/>
      <w:spacing w:val="0"/>
      <w:sz w:val="24"/>
      <w:szCs w:val="24"/>
      <w:u w:val="single"/>
      <w:lang w:eastAsia="en-US"/>
    </w:rPr>
  </w:style>
  <w:style w:type="paragraph" w:customStyle="1" w:styleId="David0">
    <w:name w:val="סגנון (עברית ושפות אחרות) David מיושר לשני הצדדים מרווח בין שורות..."/>
    <w:basedOn w:val="a"/>
    <w:rsid w:val="00A95E42"/>
    <w:pPr>
      <w:widowControl/>
      <w:autoSpaceDE/>
      <w:autoSpaceDN/>
      <w:adjustRightInd/>
      <w:spacing w:before="0" w:line="360" w:lineRule="auto"/>
      <w:ind w:firstLine="0"/>
      <w:textAlignment w:val="auto"/>
    </w:pPr>
    <w:rPr>
      <w:rFonts w:ascii="Times New Roman" w:eastAsia="Times New Roman" w:hAnsi="Times New Roman" w:cs="David"/>
      <w:color w:val="auto"/>
      <w:spacing w:val="0"/>
      <w:sz w:val="24"/>
      <w:szCs w:val="24"/>
      <w:lang w:eastAsia="en-US"/>
    </w:rPr>
  </w:style>
  <w:style w:type="paragraph" w:customStyle="1" w:styleId="11">
    <w:name w:val="רמה1"/>
    <w:basedOn w:val="a"/>
    <w:next w:val="a"/>
    <w:rsid w:val="009B0776"/>
    <w:pPr>
      <w:widowControl/>
      <w:autoSpaceDE/>
      <w:autoSpaceDN/>
      <w:adjustRightInd/>
      <w:spacing w:before="120" w:after="60" w:line="360" w:lineRule="auto"/>
      <w:ind w:left="567" w:firstLine="0"/>
      <w:textAlignment w:val="auto"/>
    </w:pPr>
    <w:rPr>
      <w:rFonts w:ascii="Times New Roman" w:eastAsia="Times New Roman" w:hAnsi="Times New Roman" w:cs="David"/>
      <w:color w:val="auto"/>
      <w:spacing w:val="0"/>
      <w:sz w:val="20"/>
      <w:szCs w:val="24"/>
      <w:lang w:eastAsia="en-US"/>
    </w:rPr>
  </w:style>
  <w:style w:type="paragraph" w:customStyle="1" w:styleId="TableInnerSideHeading">
    <w:name w:val="Table InnerSideHeading"/>
    <w:basedOn w:val="TableSideHeading"/>
    <w:uiPriority w:val="99"/>
    <w:rsid w:val="007A1C4A"/>
  </w:style>
  <w:style w:type="paragraph" w:customStyle="1" w:styleId="Hesber1st">
    <w:name w:val="Hesber 1st"/>
    <w:basedOn w:val="Hesber"/>
    <w:uiPriority w:val="99"/>
    <w:rsid w:val="007A1C4A"/>
    <w:pPr>
      <w:tabs>
        <w:tab w:val="left" w:pos="680"/>
        <w:tab w:val="left" w:pos="1020"/>
      </w:tabs>
      <w:ind w:firstLine="0"/>
    </w:pPr>
  </w:style>
  <w:style w:type="paragraph" w:customStyle="1" w:styleId="TableBlockOutdent">
    <w:name w:val="Table BlockOutdent"/>
    <w:basedOn w:val="TableBlock"/>
    <w:uiPriority w:val="99"/>
    <w:rsid w:val="003D414D"/>
    <w:pPr>
      <w:ind w:left="624" w:hanging="624"/>
    </w:pPr>
  </w:style>
  <w:style w:type="character" w:styleId="Hyperlink">
    <w:name w:val="Hyperlink"/>
    <w:basedOn w:val="a0"/>
    <w:uiPriority w:val="99"/>
    <w:rsid w:val="003D414D"/>
    <w:rPr>
      <w:rFonts w:cs="Times New Roman"/>
      <w:b/>
      <w:bCs/>
      <w:color w:val="517827"/>
      <w:u w:val="none"/>
      <w:effect w:val="none"/>
      <w:bdr w:val="none" w:sz="0" w:space="0" w:color="auto" w:frame="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aretz.co.il/hasite/pages/ShArtPE.jhtml?itemNo=415913&amp;contrassID=2&amp;subContrassID=4&amp;sbSubContrass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4729</Characters>
  <Application>Microsoft Office Word</Application>
  <DocSecurity>0</DocSecurity>
  <Lines>39</Lines>
  <Paragraphs>11</Paragraphs>
  <ScaleCrop>false</ScaleCrop>
  <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שלמה</dc:creator>
  <cp:lastModifiedBy>שלמה</cp:lastModifiedBy>
  <cp:revision>6</cp:revision>
  <dcterms:created xsi:type="dcterms:W3CDTF">2013-01-07T13:53:00Z</dcterms:created>
  <dcterms:modified xsi:type="dcterms:W3CDTF">2013-02-14T17:00:00Z</dcterms:modified>
</cp:coreProperties>
</file>